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B10D8A" w14:textId="77777777" w:rsidR="0059688B" w:rsidRPr="0059688B" w:rsidRDefault="0059688B" w:rsidP="0059688B">
      <w:pPr>
        <w:spacing w:after="0" w:line="240" w:lineRule="auto"/>
        <w:ind w:left="720"/>
        <w:textAlignment w:val="baseline"/>
        <w:outlineLvl w:val="0"/>
        <w:rPr>
          <w:rFonts w:ascii="Helvetica" w:eastAsia="Times New Roman" w:hAnsi="Helvetica" w:cs="Helvetica"/>
          <w:b/>
          <w:bCs/>
          <w:color w:val="333333"/>
          <w:kern w:val="36"/>
          <w:sz w:val="45"/>
          <w:szCs w:val="45"/>
          <w:bdr w:val="none" w:sz="0" w:space="0" w:color="auto" w:frame="1"/>
        </w:rPr>
      </w:pPr>
      <w:bookmarkStart w:id="0" w:name="citation"/>
      <w:r w:rsidRPr="0059688B">
        <w:rPr>
          <w:rFonts w:ascii="Helvetica" w:eastAsia="Times New Roman" w:hAnsi="Helvetica" w:cs="Helvetica"/>
          <w:b/>
          <w:bCs/>
          <w:color w:val="333333"/>
          <w:kern w:val="36"/>
          <w:sz w:val="45"/>
          <w:szCs w:val="45"/>
          <w:bdr w:val="none" w:sz="0" w:space="0" w:color="auto" w:frame="1"/>
        </w:rPr>
        <w:t>Constantine: dynasty, religion and power in the later Roman empire.</w:t>
      </w:r>
    </w:p>
    <w:bookmarkEnd w:id="0"/>
    <w:p w14:paraId="4D613A9A" w14:textId="77777777" w:rsidR="0059688B" w:rsidRPr="0059688B" w:rsidRDefault="0059688B" w:rsidP="0059688B">
      <w:pPr>
        <w:spacing w:after="0" w:line="240" w:lineRule="auto"/>
        <w:textAlignment w:val="baseline"/>
        <w:rPr>
          <w:rFonts w:ascii="Helvetica" w:eastAsia="Times New Roman" w:hAnsi="Helvetica" w:cs="Helvetica"/>
          <w:b/>
          <w:bCs/>
          <w:color w:val="333333"/>
          <w:sz w:val="20"/>
          <w:szCs w:val="20"/>
        </w:rPr>
      </w:pPr>
      <w:r w:rsidRPr="0059688B">
        <w:rPr>
          <w:rFonts w:ascii="Helvetica" w:eastAsia="Times New Roman" w:hAnsi="Helvetica" w:cs="Helvetica"/>
          <w:b/>
          <w:bCs/>
          <w:color w:val="333333"/>
          <w:sz w:val="20"/>
          <w:szCs w:val="20"/>
        </w:rPr>
        <w:t>Authors:</w:t>
      </w:r>
    </w:p>
    <w:p w14:paraId="26120D20" w14:textId="77777777" w:rsidR="0059688B" w:rsidRPr="0059688B" w:rsidRDefault="0059688B" w:rsidP="0059688B">
      <w:pPr>
        <w:spacing w:after="0" w:line="240" w:lineRule="auto"/>
        <w:ind w:left="720"/>
        <w:textAlignment w:val="baseline"/>
        <w:rPr>
          <w:rFonts w:ascii="Helvetica" w:eastAsia="Times New Roman" w:hAnsi="Helvetica" w:cs="Helvetica"/>
          <w:color w:val="333333"/>
          <w:sz w:val="20"/>
          <w:szCs w:val="20"/>
        </w:rPr>
      </w:pPr>
      <w:hyperlink r:id="rId5" w:tooltip="Search for Brett-Crowther, Michael" w:history="1">
        <w:r w:rsidRPr="0059688B">
          <w:rPr>
            <w:rFonts w:ascii="Helvetica" w:eastAsia="Times New Roman" w:hAnsi="Helvetica" w:cs="Helvetica"/>
            <w:color w:val="005BC6"/>
            <w:sz w:val="20"/>
            <w:szCs w:val="20"/>
            <w:bdr w:val="none" w:sz="0" w:space="0" w:color="auto" w:frame="1"/>
          </w:rPr>
          <w:t>Brett-Crowther, Michael</w:t>
        </w:r>
      </w:hyperlink>
      <w:r w:rsidRPr="0059688B">
        <w:rPr>
          <w:rFonts w:ascii="Helvetica" w:eastAsia="Times New Roman" w:hAnsi="Helvetica" w:cs="Helvetica"/>
          <w:color w:val="333333"/>
          <w:sz w:val="20"/>
          <w:szCs w:val="20"/>
        </w:rPr>
        <w:t> (AUTHOR)</w:t>
      </w:r>
    </w:p>
    <w:p w14:paraId="1D8E3CAC" w14:textId="77777777" w:rsidR="0059688B" w:rsidRPr="0059688B" w:rsidRDefault="0059688B" w:rsidP="0059688B">
      <w:pPr>
        <w:spacing w:after="0" w:line="240" w:lineRule="auto"/>
        <w:ind w:left="1950"/>
        <w:textAlignment w:val="baseline"/>
        <w:rPr>
          <w:rFonts w:ascii="Helvetica" w:eastAsia="Times New Roman" w:hAnsi="Helvetica" w:cs="Helvetica"/>
          <w:b/>
          <w:bCs/>
          <w:color w:val="333333"/>
          <w:sz w:val="20"/>
          <w:szCs w:val="20"/>
        </w:rPr>
      </w:pPr>
      <w:r w:rsidRPr="0059688B">
        <w:rPr>
          <w:rFonts w:ascii="Helvetica" w:eastAsia="Times New Roman" w:hAnsi="Helvetica" w:cs="Helvetica"/>
          <w:b/>
          <w:bCs/>
          <w:color w:val="333333"/>
          <w:sz w:val="20"/>
          <w:szCs w:val="20"/>
        </w:rPr>
        <w:t>Source:</w:t>
      </w:r>
    </w:p>
    <w:p w14:paraId="74BA673A" w14:textId="77777777" w:rsidR="0059688B" w:rsidRPr="0059688B" w:rsidRDefault="0059688B" w:rsidP="0059688B">
      <w:pPr>
        <w:spacing w:after="0" w:line="240" w:lineRule="auto"/>
        <w:ind w:left="720"/>
        <w:textAlignment w:val="baseline"/>
        <w:rPr>
          <w:rFonts w:ascii="Helvetica" w:eastAsia="Times New Roman" w:hAnsi="Helvetica" w:cs="Helvetica"/>
          <w:color w:val="333333"/>
          <w:sz w:val="20"/>
          <w:szCs w:val="20"/>
        </w:rPr>
      </w:pPr>
      <w:hyperlink r:id="rId6" w:tooltip="Search for International Journal of Environmental Studies" w:history="1">
        <w:r w:rsidRPr="0059688B">
          <w:rPr>
            <w:rFonts w:ascii="Helvetica" w:eastAsia="Times New Roman" w:hAnsi="Helvetica" w:cs="Helvetica"/>
            <w:color w:val="005BC6"/>
            <w:sz w:val="20"/>
            <w:szCs w:val="20"/>
            <w:bdr w:val="none" w:sz="0" w:space="0" w:color="auto" w:frame="1"/>
          </w:rPr>
          <w:t>International Journal of Environmental Studies</w:t>
        </w:r>
      </w:hyperlink>
      <w:r w:rsidRPr="0059688B">
        <w:rPr>
          <w:rFonts w:ascii="Helvetica" w:eastAsia="Times New Roman" w:hAnsi="Helvetica" w:cs="Helvetica"/>
          <w:color w:val="333333"/>
          <w:sz w:val="20"/>
          <w:szCs w:val="20"/>
        </w:rPr>
        <w:t>. Feb2015, Vol. 72 Issue 1, p229-234. 6p.</w:t>
      </w:r>
    </w:p>
    <w:p w14:paraId="2E17069F" w14:textId="77777777" w:rsidR="0059688B" w:rsidRPr="0059688B" w:rsidRDefault="0059688B" w:rsidP="0059688B">
      <w:pPr>
        <w:spacing w:after="0" w:line="240" w:lineRule="auto"/>
        <w:ind w:left="3900"/>
        <w:textAlignment w:val="baseline"/>
        <w:rPr>
          <w:rFonts w:ascii="Helvetica" w:eastAsia="Times New Roman" w:hAnsi="Helvetica" w:cs="Helvetica"/>
          <w:b/>
          <w:bCs/>
          <w:color w:val="333333"/>
          <w:sz w:val="20"/>
          <w:szCs w:val="20"/>
        </w:rPr>
      </w:pPr>
      <w:r w:rsidRPr="0059688B">
        <w:rPr>
          <w:rFonts w:ascii="Helvetica" w:eastAsia="Times New Roman" w:hAnsi="Helvetica" w:cs="Helvetica"/>
          <w:b/>
          <w:bCs/>
          <w:color w:val="333333"/>
          <w:sz w:val="20"/>
          <w:szCs w:val="20"/>
        </w:rPr>
        <w:t>Document Type:</w:t>
      </w:r>
    </w:p>
    <w:p w14:paraId="4465C0A0" w14:textId="77777777" w:rsidR="0059688B" w:rsidRPr="0059688B" w:rsidRDefault="0059688B" w:rsidP="0059688B">
      <w:pPr>
        <w:spacing w:after="0" w:line="240" w:lineRule="auto"/>
        <w:ind w:left="720"/>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Book Review</w:t>
      </w:r>
    </w:p>
    <w:p w14:paraId="0E9BA32E" w14:textId="77777777" w:rsidR="0059688B" w:rsidRPr="0059688B" w:rsidRDefault="0059688B" w:rsidP="0059688B">
      <w:pPr>
        <w:spacing w:after="0" w:line="240" w:lineRule="auto"/>
        <w:ind w:left="5850"/>
        <w:textAlignment w:val="baseline"/>
        <w:rPr>
          <w:rFonts w:ascii="Helvetica" w:eastAsia="Times New Roman" w:hAnsi="Helvetica" w:cs="Helvetica"/>
          <w:b/>
          <w:bCs/>
          <w:color w:val="333333"/>
          <w:sz w:val="20"/>
          <w:szCs w:val="20"/>
        </w:rPr>
      </w:pPr>
      <w:r w:rsidRPr="0059688B">
        <w:rPr>
          <w:rFonts w:ascii="Helvetica" w:eastAsia="Times New Roman" w:hAnsi="Helvetica" w:cs="Helvetica"/>
          <w:b/>
          <w:bCs/>
          <w:color w:val="333333"/>
          <w:sz w:val="20"/>
          <w:szCs w:val="20"/>
        </w:rPr>
        <w:t>Subject Terms:</w:t>
      </w:r>
    </w:p>
    <w:p w14:paraId="03CFC227" w14:textId="77777777" w:rsidR="0059688B" w:rsidRPr="0059688B" w:rsidRDefault="0059688B" w:rsidP="0059688B">
      <w:pPr>
        <w:spacing w:after="0" w:line="240" w:lineRule="auto"/>
        <w:ind w:left="720"/>
        <w:textAlignment w:val="baseline"/>
        <w:rPr>
          <w:rFonts w:ascii="Helvetica" w:eastAsia="Times New Roman" w:hAnsi="Helvetica" w:cs="Helvetica"/>
          <w:color w:val="333333"/>
          <w:sz w:val="20"/>
          <w:szCs w:val="20"/>
        </w:rPr>
      </w:pPr>
      <w:hyperlink r:id="rId7" w:tooltip="Search for Rome -- Religion" w:history="1">
        <w:r w:rsidRPr="0059688B">
          <w:rPr>
            <w:rFonts w:ascii="Helvetica" w:eastAsia="Times New Roman" w:hAnsi="Helvetica" w:cs="Helvetica"/>
            <w:color w:val="005BC6"/>
            <w:sz w:val="20"/>
            <w:szCs w:val="20"/>
            <w:bdr w:val="none" w:sz="0" w:space="0" w:color="auto" w:frame="1"/>
          </w:rPr>
          <w:t>Rome -- Religion</w:t>
        </w:r>
      </w:hyperlink>
      <w:r w:rsidRPr="0059688B">
        <w:rPr>
          <w:rFonts w:ascii="Helvetica" w:eastAsia="Times New Roman" w:hAnsi="Helvetica" w:cs="Helvetica"/>
          <w:color w:val="333333"/>
          <w:sz w:val="20"/>
          <w:szCs w:val="20"/>
        </w:rPr>
        <w:br/>
      </w:r>
      <w:hyperlink r:id="rId8" w:tooltip="Search for Nonfiction" w:history="1">
        <w:r w:rsidRPr="0059688B">
          <w:rPr>
            <w:rFonts w:ascii="Helvetica" w:eastAsia="Times New Roman" w:hAnsi="Helvetica" w:cs="Helvetica"/>
            <w:color w:val="005BC6"/>
            <w:sz w:val="20"/>
            <w:szCs w:val="20"/>
            <w:bdr w:val="none" w:sz="0" w:space="0" w:color="auto" w:frame="1"/>
          </w:rPr>
          <w:t>Nonfiction</w:t>
        </w:r>
      </w:hyperlink>
    </w:p>
    <w:p w14:paraId="54580C9C" w14:textId="77777777" w:rsidR="0059688B" w:rsidRPr="0059688B" w:rsidRDefault="0059688B" w:rsidP="0059688B">
      <w:pPr>
        <w:spacing w:after="0" w:line="240" w:lineRule="auto"/>
        <w:ind w:left="7800"/>
        <w:textAlignment w:val="baseline"/>
        <w:rPr>
          <w:rFonts w:ascii="Helvetica" w:eastAsia="Times New Roman" w:hAnsi="Helvetica" w:cs="Helvetica"/>
          <w:b/>
          <w:bCs/>
          <w:color w:val="333333"/>
          <w:sz w:val="20"/>
          <w:szCs w:val="20"/>
        </w:rPr>
      </w:pPr>
      <w:r w:rsidRPr="0059688B">
        <w:rPr>
          <w:rFonts w:ascii="Helvetica" w:eastAsia="Times New Roman" w:hAnsi="Helvetica" w:cs="Helvetica"/>
          <w:b/>
          <w:bCs/>
          <w:color w:val="333333"/>
          <w:sz w:val="20"/>
          <w:szCs w:val="20"/>
        </w:rPr>
        <w:t>Reviews &amp; Products:</w:t>
      </w:r>
    </w:p>
    <w:p w14:paraId="50E8B096" w14:textId="77777777" w:rsidR="0059688B" w:rsidRPr="0059688B" w:rsidRDefault="0059688B" w:rsidP="0059688B">
      <w:pPr>
        <w:spacing w:after="0" w:line="240" w:lineRule="auto"/>
        <w:ind w:left="720"/>
        <w:textAlignment w:val="baseline"/>
        <w:rPr>
          <w:rFonts w:ascii="Helvetica" w:eastAsia="Times New Roman" w:hAnsi="Helvetica" w:cs="Helvetica"/>
          <w:color w:val="333333"/>
          <w:sz w:val="20"/>
          <w:szCs w:val="20"/>
        </w:rPr>
      </w:pPr>
      <w:hyperlink r:id="rId9" w:tooltip="Search for Constantine: Dynasty, Religion &amp; Power in the Later Roman Empire (Book)" w:history="1">
        <w:r w:rsidRPr="0059688B">
          <w:rPr>
            <w:rFonts w:ascii="Helvetica" w:eastAsia="Times New Roman" w:hAnsi="Helvetica" w:cs="Helvetica"/>
            <w:color w:val="005BC6"/>
            <w:sz w:val="20"/>
            <w:szCs w:val="20"/>
            <w:bdr w:val="none" w:sz="0" w:space="0" w:color="auto" w:frame="1"/>
          </w:rPr>
          <w:t>Constantine: Dynasty, Religion &amp; Power in the Later Roman Empire (Book)</w:t>
        </w:r>
      </w:hyperlink>
    </w:p>
    <w:p w14:paraId="09CB4443" w14:textId="77777777" w:rsidR="0059688B" w:rsidRPr="0059688B" w:rsidRDefault="0059688B" w:rsidP="0059688B">
      <w:pPr>
        <w:spacing w:after="0" w:line="240" w:lineRule="auto"/>
        <w:ind w:left="9750"/>
        <w:textAlignment w:val="baseline"/>
        <w:rPr>
          <w:rFonts w:ascii="Helvetica" w:eastAsia="Times New Roman" w:hAnsi="Helvetica" w:cs="Helvetica"/>
          <w:b/>
          <w:bCs/>
          <w:color w:val="333333"/>
          <w:sz w:val="20"/>
          <w:szCs w:val="20"/>
        </w:rPr>
      </w:pPr>
      <w:r w:rsidRPr="0059688B">
        <w:rPr>
          <w:rFonts w:ascii="Helvetica" w:eastAsia="Times New Roman" w:hAnsi="Helvetica" w:cs="Helvetica"/>
          <w:b/>
          <w:bCs/>
          <w:color w:val="333333"/>
          <w:sz w:val="20"/>
          <w:szCs w:val="20"/>
        </w:rPr>
        <w:t>People:</w:t>
      </w:r>
    </w:p>
    <w:p w14:paraId="560662AE" w14:textId="77777777" w:rsidR="0059688B" w:rsidRPr="0059688B" w:rsidRDefault="0059688B" w:rsidP="0059688B">
      <w:pPr>
        <w:spacing w:after="0" w:line="240" w:lineRule="auto"/>
        <w:ind w:left="720"/>
        <w:textAlignment w:val="baseline"/>
        <w:rPr>
          <w:rFonts w:ascii="Helvetica" w:eastAsia="Times New Roman" w:hAnsi="Helvetica" w:cs="Helvetica"/>
          <w:color w:val="333333"/>
          <w:sz w:val="20"/>
          <w:szCs w:val="20"/>
        </w:rPr>
      </w:pPr>
      <w:hyperlink r:id="rId10" w:tooltip="Search for Barnes, Timothy" w:history="1">
        <w:r w:rsidRPr="0059688B">
          <w:rPr>
            <w:rFonts w:ascii="Helvetica" w:eastAsia="Times New Roman" w:hAnsi="Helvetica" w:cs="Helvetica"/>
            <w:color w:val="005BC6"/>
            <w:sz w:val="20"/>
            <w:szCs w:val="20"/>
            <w:bdr w:val="none" w:sz="0" w:space="0" w:color="auto" w:frame="1"/>
          </w:rPr>
          <w:t>Barnes, Timothy</w:t>
        </w:r>
      </w:hyperlink>
      <w:r w:rsidRPr="0059688B">
        <w:rPr>
          <w:rFonts w:ascii="Helvetica" w:eastAsia="Times New Roman" w:hAnsi="Helvetica" w:cs="Helvetica"/>
          <w:color w:val="333333"/>
          <w:sz w:val="20"/>
          <w:szCs w:val="20"/>
        </w:rPr>
        <w:br/>
      </w:r>
      <w:hyperlink r:id="rId11" w:tooltip="Search for Constantine I, Emperor of Rome, d. 337" w:history="1">
        <w:r w:rsidRPr="0059688B">
          <w:rPr>
            <w:rFonts w:ascii="Helvetica" w:eastAsia="Times New Roman" w:hAnsi="Helvetica" w:cs="Helvetica"/>
            <w:color w:val="005BC6"/>
            <w:sz w:val="20"/>
            <w:szCs w:val="20"/>
            <w:bdr w:val="none" w:sz="0" w:space="0" w:color="auto" w:frame="1"/>
          </w:rPr>
          <w:t>Constantine I, Emperor of Rome, d. 337</w:t>
        </w:r>
      </w:hyperlink>
    </w:p>
    <w:p w14:paraId="4E048AB9" w14:textId="77777777" w:rsidR="0059688B" w:rsidRPr="0059688B" w:rsidRDefault="0059688B" w:rsidP="0059688B">
      <w:pPr>
        <w:spacing w:after="0" w:line="240" w:lineRule="auto"/>
        <w:ind w:left="11700"/>
        <w:textAlignment w:val="baseline"/>
        <w:rPr>
          <w:rFonts w:ascii="Helvetica" w:eastAsia="Times New Roman" w:hAnsi="Helvetica" w:cs="Helvetica"/>
          <w:b/>
          <w:bCs/>
          <w:color w:val="333333"/>
          <w:sz w:val="20"/>
          <w:szCs w:val="20"/>
        </w:rPr>
      </w:pPr>
      <w:r w:rsidRPr="0059688B">
        <w:rPr>
          <w:rFonts w:ascii="Helvetica" w:eastAsia="Times New Roman" w:hAnsi="Helvetica" w:cs="Helvetica"/>
          <w:b/>
          <w:bCs/>
          <w:color w:val="333333"/>
          <w:sz w:val="20"/>
          <w:szCs w:val="20"/>
        </w:rPr>
        <w:t>ISSN:</w:t>
      </w:r>
    </w:p>
    <w:p w14:paraId="1F4AA90F" w14:textId="77777777" w:rsidR="0059688B" w:rsidRPr="0059688B" w:rsidRDefault="0059688B" w:rsidP="0059688B">
      <w:pPr>
        <w:spacing w:after="0" w:line="240" w:lineRule="auto"/>
        <w:ind w:left="720"/>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0020-7233</w:t>
      </w:r>
    </w:p>
    <w:p w14:paraId="0E4473BA" w14:textId="77777777" w:rsidR="0059688B" w:rsidRPr="0059688B" w:rsidRDefault="0059688B" w:rsidP="0059688B">
      <w:pPr>
        <w:spacing w:after="0" w:line="240" w:lineRule="auto"/>
        <w:ind w:left="13650"/>
        <w:textAlignment w:val="baseline"/>
        <w:rPr>
          <w:rFonts w:ascii="Helvetica" w:eastAsia="Times New Roman" w:hAnsi="Helvetica" w:cs="Helvetica"/>
          <w:b/>
          <w:bCs/>
          <w:color w:val="333333"/>
          <w:sz w:val="20"/>
          <w:szCs w:val="20"/>
        </w:rPr>
      </w:pPr>
      <w:r w:rsidRPr="0059688B">
        <w:rPr>
          <w:rFonts w:ascii="Helvetica" w:eastAsia="Times New Roman" w:hAnsi="Helvetica" w:cs="Helvetica"/>
          <w:b/>
          <w:bCs/>
          <w:color w:val="333333"/>
          <w:sz w:val="20"/>
          <w:szCs w:val="20"/>
        </w:rPr>
        <w:t>DOI:</w:t>
      </w:r>
    </w:p>
    <w:p w14:paraId="731860C9" w14:textId="77777777" w:rsidR="0059688B" w:rsidRPr="0059688B" w:rsidRDefault="0059688B" w:rsidP="0059688B">
      <w:pPr>
        <w:spacing w:after="0" w:line="240" w:lineRule="auto"/>
        <w:ind w:left="720"/>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10.1080/00207233.2014.947728</w:t>
      </w:r>
    </w:p>
    <w:p w14:paraId="09460465" w14:textId="77777777" w:rsidR="0059688B" w:rsidRPr="0059688B" w:rsidRDefault="0059688B" w:rsidP="0059688B">
      <w:pPr>
        <w:spacing w:after="0" w:line="240" w:lineRule="auto"/>
        <w:ind w:left="15600"/>
        <w:textAlignment w:val="baseline"/>
        <w:rPr>
          <w:rFonts w:ascii="Helvetica" w:eastAsia="Times New Roman" w:hAnsi="Helvetica" w:cs="Helvetica"/>
          <w:b/>
          <w:bCs/>
          <w:color w:val="333333"/>
          <w:sz w:val="20"/>
          <w:szCs w:val="20"/>
        </w:rPr>
      </w:pPr>
      <w:r w:rsidRPr="0059688B">
        <w:rPr>
          <w:rFonts w:ascii="Helvetica" w:eastAsia="Times New Roman" w:hAnsi="Helvetica" w:cs="Helvetica"/>
          <w:b/>
          <w:bCs/>
          <w:color w:val="333333"/>
          <w:sz w:val="20"/>
          <w:szCs w:val="20"/>
        </w:rPr>
        <w:t>Accession Number:</w:t>
      </w:r>
    </w:p>
    <w:p w14:paraId="5E235674" w14:textId="77777777" w:rsidR="0059688B" w:rsidRPr="0059688B" w:rsidRDefault="0059688B" w:rsidP="0059688B">
      <w:pPr>
        <w:spacing w:after="0" w:line="240" w:lineRule="auto"/>
        <w:ind w:left="720"/>
        <w:textAlignment w:val="baseline"/>
        <w:rPr>
          <w:rFonts w:ascii="Helvetica" w:eastAsia="Times New Roman" w:hAnsi="Helvetica" w:cs="Helvetica"/>
          <w:color w:val="333333"/>
          <w:sz w:val="20"/>
          <w:szCs w:val="20"/>
        </w:rPr>
      </w:pPr>
      <w:r w:rsidRPr="0059688B">
        <w:rPr>
          <w:rFonts w:ascii="Helvetica" w:eastAsia="Times New Roman" w:hAnsi="Helvetica" w:cs="Helvetica"/>
          <w:b/>
          <w:bCs/>
          <w:color w:val="333333"/>
          <w:sz w:val="20"/>
          <w:szCs w:val="20"/>
          <w:bdr w:val="none" w:sz="0" w:space="0" w:color="auto" w:frame="1"/>
        </w:rPr>
        <w:t>100825892</w:t>
      </w:r>
    </w:p>
    <w:p w14:paraId="0CB89016" w14:textId="77777777" w:rsidR="0059688B" w:rsidRPr="0059688B" w:rsidRDefault="0059688B" w:rsidP="0059688B">
      <w:pPr>
        <w:spacing w:after="0" w:line="240" w:lineRule="auto"/>
        <w:ind w:left="17550"/>
        <w:textAlignment w:val="baseline"/>
        <w:rPr>
          <w:rFonts w:ascii="Helvetica" w:eastAsia="Times New Roman" w:hAnsi="Helvetica" w:cs="Helvetica"/>
          <w:b/>
          <w:bCs/>
          <w:color w:val="333333"/>
          <w:sz w:val="20"/>
          <w:szCs w:val="20"/>
        </w:rPr>
      </w:pPr>
      <w:r w:rsidRPr="0059688B">
        <w:rPr>
          <w:rFonts w:ascii="Helvetica" w:eastAsia="Times New Roman" w:hAnsi="Helvetica" w:cs="Helvetica"/>
          <w:b/>
          <w:bCs/>
          <w:color w:val="333333"/>
          <w:sz w:val="20"/>
          <w:szCs w:val="20"/>
        </w:rPr>
        <w:t>Da</w:t>
      </w:r>
      <w:r w:rsidRPr="0059688B">
        <w:rPr>
          <w:rFonts w:ascii="Helvetica" w:eastAsia="Times New Roman" w:hAnsi="Helvetica" w:cs="Helvetica"/>
          <w:b/>
          <w:bCs/>
          <w:color w:val="333333"/>
          <w:sz w:val="20"/>
          <w:szCs w:val="20"/>
        </w:rPr>
        <w:lastRenderedPageBreak/>
        <w:t>tabase:</w:t>
      </w:r>
    </w:p>
    <w:p w14:paraId="1F7C5DB5" w14:textId="77777777" w:rsidR="0059688B" w:rsidRPr="0059688B" w:rsidRDefault="0059688B" w:rsidP="0059688B">
      <w:pPr>
        <w:spacing w:after="0" w:line="240" w:lineRule="auto"/>
        <w:ind w:left="720"/>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Environment Complete</w:t>
      </w:r>
    </w:p>
    <w:p w14:paraId="0123A7B3" w14:textId="77777777" w:rsidR="0059688B" w:rsidRPr="0059688B" w:rsidRDefault="0059688B" w:rsidP="0059688B">
      <w:pPr>
        <w:spacing w:after="0" w:line="240" w:lineRule="auto"/>
        <w:ind w:left="19500"/>
        <w:textAlignment w:val="baseline"/>
        <w:rPr>
          <w:rFonts w:ascii="Helvetica" w:eastAsia="Times New Roman" w:hAnsi="Helvetica" w:cs="Helvetica"/>
          <w:b/>
          <w:bCs/>
          <w:color w:val="333333"/>
          <w:sz w:val="20"/>
          <w:szCs w:val="20"/>
        </w:rPr>
      </w:pPr>
      <w:r w:rsidRPr="0059688B">
        <w:rPr>
          <w:rFonts w:ascii="Helvetica" w:eastAsia="Times New Roman" w:hAnsi="Helvetica" w:cs="Helvetica"/>
          <w:b/>
          <w:bCs/>
          <w:color w:val="333333"/>
          <w:sz w:val="20"/>
          <w:szCs w:val="20"/>
        </w:rPr>
        <w:t>Publisher Logo:</w:t>
      </w:r>
    </w:p>
    <w:p w14:paraId="4FE52151" w14:textId="77777777" w:rsidR="0059688B" w:rsidRPr="0059688B" w:rsidRDefault="0059688B" w:rsidP="0059688B">
      <w:pPr>
        <w:spacing w:after="0" w:line="240" w:lineRule="auto"/>
        <w:ind w:left="720"/>
        <w:textAlignment w:val="baseline"/>
        <w:rPr>
          <w:rFonts w:ascii="Helvetica" w:eastAsia="Times New Roman" w:hAnsi="Helvetica" w:cs="Helvetica"/>
          <w:color w:val="333333"/>
          <w:sz w:val="20"/>
          <w:szCs w:val="20"/>
        </w:rPr>
      </w:pPr>
      <w:r w:rsidRPr="0059688B">
        <w:rPr>
          <w:rFonts w:ascii="Helvetica" w:eastAsia="Times New Roman" w:hAnsi="Helvetica" w:cs="Helvetica"/>
          <w:noProof/>
          <w:color w:val="005BC6"/>
          <w:sz w:val="20"/>
          <w:szCs w:val="20"/>
          <w:bdr w:val="none" w:sz="0" w:space="0" w:color="auto" w:frame="1"/>
        </w:rPr>
        <w:drawing>
          <wp:inline distT="0" distB="0" distL="0" distR="0" wp14:anchorId="33389661" wp14:editId="1CEDD025">
            <wp:extent cx="1143000" cy="571500"/>
            <wp:effectExtent l="0" t="0" r="0" b="0"/>
            <wp:docPr id="4" name="img_Hjaf">
              <a:hlinkClick xmlns:a="http://schemas.openxmlformats.org/drawingml/2006/main" r:id="rId12" tooltip="&quot;Publisher Log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Hjaf">
                      <a:hlinkClick r:id="rId12" tooltip="&quot;Publisher Logo&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571500"/>
                    </a:xfrm>
                    <a:prstGeom prst="rect">
                      <a:avLst/>
                    </a:prstGeom>
                    <a:noFill/>
                    <a:ln>
                      <a:noFill/>
                    </a:ln>
                  </pic:spPr>
                </pic:pic>
              </a:graphicData>
            </a:graphic>
          </wp:inline>
        </w:drawing>
      </w:r>
    </w:p>
    <w:p w14:paraId="243C0F79" w14:textId="22977A4D" w:rsidR="0059688B" w:rsidRPr="0059688B" w:rsidRDefault="0059688B" w:rsidP="0059688B">
      <w:pPr>
        <w:spacing w:after="0" w:line="240" w:lineRule="auto"/>
        <w:textAlignment w:val="baseline"/>
        <w:rPr>
          <w:rFonts w:ascii="Helvetica" w:eastAsia="Times New Roman" w:hAnsi="Helvetica" w:cs="Helvetica"/>
          <w:color w:val="333333"/>
          <w:sz w:val="20"/>
          <w:szCs w:val="20"/>
        </w:rPr>
      </w:pPr>
      <w:bookmarkStart w:id="1" w:name="Translate"/>
      <w:r w:rsidRPr="0059688B">
        <w:rPr>
          <w:rFonts w:ascii="Helvetica" w:eastAsia="Times New Roman" w:hAnsi="Helvetica" w:cs="Helvetica"/>
          <w:color w:val="333333"/>
          <w:sz w:val="20"/>
          <w:szCs w:val="20"/>
          <w:bdr w:val="none" w:sz="0" w:space="0" w:color="auto" w:frame="1"/>
        </w:rPr>
        <w:t> </w:t>
      </w:r>
      <w:bookmarkEnd w:id="1"/>
      <w:r w:rsidRPr="0059688B">
        <w:rPr>
          <w:rFonts w:ascii="Helvetica" w:eastAsia="Times New Roman" w:hAnsi="Helvetica" w:cs="Helvetica"/>
          <w:color w:val="333333"/>
          <w:sz w:val="20"/>
          <w:szCs w:val="20"/>
        </w:rPr>
        <w:object w:dxaOrig="1440" w:dyaOrig="1440" w14:anchorId="0D5236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42.5pt;height:18pt" o:ole="">
            <v:imagedata r:id="rId14" o:title=""/>
          </v:shape>
          <w:control r:id="rId15" w:name="DefaultOcxName" w:shapeid="_x0000_i1030"/>
        </w:object>
      </w:r>
      <w:r w:rsidRPr="0059688B">
        <w:rPr>
          <w:rFonts w:ascii="Helvetica" w:eastAsia="Times New Roman" w:hAnsi="Helvetica" w:cs="Helvetica"/>
          <w:color w:val="333333"/>
          <w:sz w:val="20"/>
          <w:szCs w:val="20"/>
        </w:rPr>
        <w:t> </w:t>
      </w:r>
    </w:p>
    <w:p w14:paraId="2F2A5B3E" w14:textId="77777777" w:rsidR="0059688B" w:rsidRPr="0059688B" w:rsidRDefault="0059688B" w:rsidP="0059688B">
      <w:pPr>
        <w:spacing w:after="0" w:line="240" w:lineRule="auto"/>
        <w:ind w:left="720"/>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Constantine: dynasty, religion and power in the later Roman empire. </w:t>
      </w:r>
    </w:p>
    <w:p w14:paraId="06FB1B8A" w14:textId="77777777" w:rsidR="0059688B" w:rsidRPr="0059688B" w:rsidRDefault="0059688B" w:rsidP="0059688B">
      <w:pPr>
        <w:pBdr>
          <w:bottom w:val="single" w:sz="6" w:space="4" w:color="89BBF6"/>
        </w:pBdr>
        <w:shd w:val="clear" w:color="auto" w:fill="E5EEF7"/>
        <w:spacing w:after="0" w:line="240" w:lineRule="auto"/>
        <w:jc w:val="center"/>
        <w:textAlignment w:val="baseline"/>
        <w:outlineLvl w:val="2"/>
        <w:rPr>
          <w:rFonts w:ascii="Helvetica" w:eastAsia="Times New Roman" w:hAnsi="Helvetica" w:cs="Helvetica"/>
          <w:b/>
          <w:bCs/>
          <w:color w:val="333333"/>
          <w:sz w:val="20"/>
          <w:szCs w:val="20"/>
        </w:rPr>
      </w:pPr>
      <w:r w:rsidRPr="0059688B">
        <w:rPr>
          <w:rFonts w:ascii="Helvetica" w:eastAsia="Times New Roman" w:hAnsi="Helvetica" w:cs="Helvetica"/>
          <w:b/>
          <w:bCs/>
          <w:color w:val="333333"/>
          <w:sz w:val="20"/>
          <w:szCs w:val="20"/>
        </w:rPr>
        <w:t>Contents</w:t>
      </w:r>
    </w:p>
    <w:p w14:paraId="6A5C3195" w14:textId="77777777" w:rsidR="0059688B" w:rsidRPr="0059688B" w:rsidRDefault="0059688B" w:rsidP="0059688B">
      <w:pPr>
        <w:numPr>
          <w:ilvl w:val="0"/>
          <w:numId w:val="1"/>
        </w:numPr>
        <w:spacing w:line="270" w:lineRule="atLeast"/>
        <w:ind w:left="0"/>
        <w:textAlignment w:val="baseline"/>
        <w:rPr>
          <w:rFonts w:ascii="Helvetica" w:eastAsia="Times New Roman" w:hAnsi="Helvetica" w:cs="Helvetica"/>
          <w:color w:val="333333"/>
          <w:sz w:val="20"/>
          <w:szCs w:val="20"/>
        </w:rPr>
      </w:pPr>
      <w:hyperlink r:id="rId16" w:anchor="AN0100825892-2" w:tooltip=" References  " w:history="1">
        <w:r w:rsidRPr="0059688B">
          <w:rPr>
            <w:rFonts w:ascii="Helvetica" w:eastAsia="Times New Roman" w:hAnsi="Helvetica" w:cs="Helvetica"/>
            <w:color w:val="005BC6"/>
            <w:sz w:val="20"/>
            <w:szCs w:val="20"/>
            <w:bdr w:val="none" w:sz="0" w:space="0" w:color="auto" w:frame="1"/>
          </w:rPr>
          <w:t>References</w:t>
        </w:r>
      </w:hyperlink>
    </w:p>
    <w:p w14:paraId="6DE700A9" w14:textId="77777777" w:rsidR="0059688B" w:rsidRPr="0059688B" w:rsidRDefault="0059688B" w:rsidP="0059688B">
      <w:pPr>
        <w:spacing w:after="0" w:line="240" w:lineRule="auto"/>
        <w:textAlignment w:val="baseline"/>
        <w:outlineLvl w:val="1"/>
        <w:rPr>
          <w:rFonts w:ascii="Helvetica" w:eastAsia="Times New Roman" w:hAnsi="Helvetica" w:cs="Helvetica"/>
          <w:b/>
          <w:bCs/>
          <w:color w:val="333333"/>
          <w:sz w:val="36"/>
          <w:szCs w:val="36"/>
        </w:rPr>
      </w:pPr>
      <w:r w:rsidRPr="0059688B">
        <w:rPr>
          <w:rFonts w:ascii="Helvetica" w:eastAsia="Times New Roman" w:hAnsi="Helvetica" w:cs="Helvetica"/>
          <w:b/>
          <w:bCs/>
          <w:color w:val="333333"/>
          <w:sz w:val="36"/>
          <w:szCs w:val="36"/>
        </w:rPr>
        <w:t>Full Text</w:t>
      </w:r>
    </w:p>
    <w:p w14:paraId="521143F0" w14:textId="02B44143" w:rsidR="0059688B" w:rsidRPr="0059688B" w:rsidRDefault="0059688B" w:rsidP="0059688B">
      <w:pPr>
        <w:spacing w:after="150" w:line="240" w:lineRule="auto"/>
        <w:ind w:right="150"/>
        <w:textAlignment w:val="baseline"/>
        <w:rPr>
          <w:rFonts w:ascii="Helvetica" w:eastAsia="Times New Roman" w:hAnsi="Helvetica" w:cs="Helvetica"/>
          <w:color w:val="333333"/>
          <w:sz w:val="20"/>
          <w:szCs w:val="20"/>
          <w:bdr w:val="none" w:sz="0" w:space="0" w:color="auto" w:frame="1"/>
        </w:rPr>
      </w:pPr>
      <w:hyperlink r:id="rId17" w:history="1">
        <w:r w:rsidRPr="0059688B">
          <w:rPr>
            <w:rFonts w:ascii="Lucida Sans" w:eastAsia="Times New Roman" w:hAnsi="Lucida Sans" w:cs="Helvetica"/>
            <w:color w:val="333333"/>
            <w:sz w:val="18"/>
            <w:szCs w:val="18"/>
            <w:bdr w:val="none" w:sz="0" w:space="0" w:color="auto" w:frame="1"/>
          </w:rPr>
          <w:t>Listen</w:t>
        </w:r>
      </w:hyperlink>
      <w:r w:rsidRPr="0059688B">
        <w:rPr>
          <w:rFonts w:ascii="Helvetica" w:eastAsia="Times New Roman" w:hAnsi="Helvetica" w:cs="Helvetica"/>
          <w:color w:val="333333"/>
          <w:sz w:val="20"/>
          <w:szCs w:val="20"/>
          <w:bdr w:val="none" w:sz="0" w:space="0" w:color="auto" w:frame="1"/>
        </w:rPr>
        <w:t>                    </w:t>
      </w:r>
      <w:r w:rsidRPr="0059688B">
        <w:rPr>
          <w:rFonts w:ascii="Helvetica" w:eastAsia="Times New Roman" w:hAnsi="Helvetica" w:cs="Helvetica"/>
          <w:color w:val="333333"/>
          <w:sz w:val="20"/>
          <w:szCs w:val="20"/>
          <w:bdr w:val="none" w:sz="0" w:space="0" w:color="auto" w:frame="1"/>
        </w:rPr>
        <w:object w:dxaOrig="1440" w:dyaOrig="1440" w14:anchorId="260897B7">
          <v:shape id="_x0000_i1029" type="#_x0000_t75" style="width:111pt;height:18pt" o:ole="">
            <v:imagedata r:id="rId18" o:title=""/>
          </v:shape>
          <w:control r:id="rId19" w:name="DefaultOcxName1" w:shapeid="_x0000_i1029"/>
        </w:object>
      </w:r>
    </w:p>
    <w:p w14:paraId="7B68216E"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 xml:space="preserve">The position of Constantine is crucial in world history. In the Orthodox Church, he is equal to the apostles; in 'ordinary history' he is the first Christian </w:t>
      </w:r>
      <w:proofErr w:type="gramStart"/>
      <w:r w:rsidRPr="0059688B">
        <w:rPr>
          <w:rFonts w:ascii="Helvetica" w:eastAsia="Times New Roman" w:hAnsi="Helvetica" w:cs="Helvetica"/>
          <w:color w:val="333333"/>
          <w:sz w:val="20"/>
          <w:szCs w:val="20"/>
        </w:rPr>
        <w:t>emperor, but</w:t>
      </w:r>
      <w:proofErr w:type="gramEnd"/>
      <w:r w:rsidRPr="0059688B">
        <w:rPr>
          <w:rFonts w:ascii="Helvetica" w:eastAsia="Times New Roman" w:hAnsi="Helvetica" w:cs="Helvetica"/>
          <w:color w:val="333333"/>
          <w:sz w:val="20"/>
          <w:szCs w:val="20"/>
        </w:rPr>
        <w:t xml:space="preserve"> seen more as a political manager than a Christian hero. The icon of Constantine makes him look like the mosaics of Justinian and Theodora at Ravenna. </w:t>
      </w:r>
      <w:proofErr w:type="gramStart"/>
      <w:r w:rsidRPr="0059688B">
        <w:rPr>
          <w:rFonts w:ascii="Helvetica" w:eastAsia="Times New Roman" w:hAnsi="Helvetica" w:cs="Helvetica"/>
          <w:color w:val="333333"/>
          <w:sz w:val="20"/>
          <w:szCs w:val="20"/>
        </w:rPr>
        <w:t>Constantine,</w:t>
      </w:r>
      <w:proofErr w:type="gramEnd"/>
      <w:r w:rsidRPr="0059688B">
        <w:rPr>
          <w:rFonts w:ascii="Helvetica" w:eastAsia="Times New Roman" w:hAnsi="Helvetica" w:cs="Helvetica"/>
          <w:color w:val="333333"/>
          <w:sz w:val="20"/>
          <w:szCs w:val="20"/>
        </w:rPr>
        <w:t xml:space="preserve"> bearded and crowned, and Helena, his crowned mother, stand on either side of the True Cross. This alludes to Christ and his mother, but the appearance is misleading. Coins and statues of the son and the mother were done in their lifetime. Constantine is clean-shaven and bull-necked: </w:t>
      </w:r>
      <w:proofErr w:type="gramStart"/>
      <w:r w:rsidRPr="0059688B">
        <w:rPr>
          <w:rFonts w:ascii="Helvetica" w:eastAsia="Times New Roman" w:hAnsi="Helvetica" w:cs="Helvetica"/>
          <w:color w:val="333333"/>
          <w:sz w:val="20"/>
          <w:szCs w:val="20"/>
        </w:rPr>
        <w:t>a</w:t>
      </w:r>
      <w:proofErr w:type="gramEnd"/>
      <w:r w:rsidRPr="0059688B">
        <w:rPr>
          <w:rFonts w:ascii="Helvetica" w:eastAsia="Times New Roman" w:hAnsi="Helvetica" w:cs="Helvetica"/>
          <w:color w:val="333333"/>
          <w:sz w:val="20"/>
          <w:szCs w:val="20"/>
        </w:rPr>
        <w:t xml:space="preserve"> Roman soldier. Statuary of Helena shows her as a Roman matron. Yet, the Orthodox Church has ignored the factual appearance of SS. Constantine and Helena. The icons which show a photographic likeness of SS. </w:t>
      </w:r>
      <w:proofErr w:type="spellStart"/>
      <w:r w:rsidRPr="0059688B">
        <w:rPr>
          <w:rFonts w:ascii="Helvetica" w:eastAsia="Times New Roman" w:hAnsi="Helvetica" w:cs="Helvetica"/>
          <w:color w:val="333333"/>
          <w:sz w:val="20"/>
          <w:szCs w:val="20"/>
        </w:rPr>
        <w:t>Nektarios</w:t>
      </w:r>
      <w:proofErr w:type="spellEnd"/>
      <w:r w:rsidRPr="0059688B">
        <w:rPr>
          <w:rFonts w:ascii="Helvetica" w:eastAsia="Times New Roman" w:hAnsi="Helvetica" w:cs="Helvetica"/>
          <w:color w:val="333333"/>
          <w:sz w:val="20"/>
          <w:szCs w:val="20"/>
        </w:rPr>
        <w:t xml:space="preserve">, </w:t>
      </w:r>
      <w:proofErr w:type="spellStart"/>
      <w:r w:rsidRPr="0059688B">
        <w:rPr>
          <w:rFonts w:ascii="Helvetica" w:eastAsia="Times New Roman" w:hAnsi="Helvetica" w:cs="Helvetica"/>
          <w:color w:val="333333"/>
          <w:sz w:val="20"/>
          <w:szCs w:val="20"/>
        </w:rPr>
        <w:t>Savvas</w:t>
      </w:r>
      <w:proofErr w:type="spellEnd"/>
      <w:r w:rsidRPr="0059688B">
        <w:rPr>
          <w:rFonts w:ascii="Helvetica" w:eastAsia="Times New Roman" w:hAnsi="Helvetica" w:cs="Helvetica"/>
          <w:color w:val="333333"/>
          <w:sz w:val="20"/>
          <w:szCs w:val="20"/>
        </w:rPr>
        <w:t xml:space="preserve"> the New of Kalymnos, John of </w:t>
      </w:r>
      <w:proofErr w:type="spellStart"/>
      <w:r w:rsidRPr="0059688B">
        <w:rPr>
          <w:rFonts w:ascii="Helvetica" w:eastAsia="Times New Roman" w:hAnsi="Helvetica" w:cs="Helvetica"/>
          <w:color w:val="333333"/>
          <w:sz w:val="20"/>
          <w:szCs w:val="20"/>
        </w:rPr>
        <w:t>Kronstadt</w:t>
      </w:r>
      <w:proofErr w:type="spellEnd"/>
      <w:r w:rsidRPr="0059688B">
        <w:rPr>
          <w:rFonts w:ascii="Helvetica" w:eastAsia="Times New Roman" w:hAnsi="Helvetica" w:cs="Helvetica"/>
          <w:color w:val="333333"/>
          <w:sz w:val="20"/>
          <w:szCs w:val="20"/>
        </w:rPr>
        <w:t xml:space="preserve">, John of Shanghai, Alexei and Sergei </w:t>
      </w:r>
      <w:proofErr w:type="spellStart"/>
      <w:r w:rsidRPr="0059688B">
        <w:rPr>
          <w:rFonts w:ascii="Helvetica" w:eastAsia="Times New Roman" w:hAnsi="Helvetica" w:cs="Helvetica"/>
          <w:color w:val="333333"/>
          <w:sz w:val="20"/>
          <w:szCs w:val="20"/>
        </w:rPr>
        <w:t>Mechev</w:t>
      </w:r>
      <w:proofErr w:type="spellEnd"/>
      <w:r w:rsidRPr="0059688B">
        <w:rPr>
          <w:rFonts w:ascii="Helvetica" w:eastAsia="Times New Roman" w:hAnsi="Helvetica" w:cs="Helvetica"/>
          <w:color w:val="333333"/>
          <w:sz w:val="20"/>
          <w:szCs w:val="20"/>
        </w:rPr>
        <w:t xml:space="preserve">, Grigol </w:t>
      </w:r>
      <w:proofErr w:type="spellStart"/>
      <w:r w:rsidRPr="0059688B">
        <w:rPr>
          <w:rFonts w:ascii="Helvetica" w:eastAsia="Times New Roman" w:hAnsi="Helvetica" w:cs="Helvetica"/>
          <w:color w:val="333333"/>
          <w:sz w:val="20"/>
          <w:szCs w:val="20"/>
        </w:rPr>
        <w:t>Peradze</w:t>
      </w:r>
      <w:proofErr w:type="spellEnd"/>
      <w:r w:rsidRPr="0059688B">
        <w:rPr>
          <w:rFonts w:ascii="Helvetica" w:eastAsia="Times New Roman" w:hAnsi="Helvetica" w:cs="Helvetica"/>
          <w:color w:val="333333"/>
          <w:sz w:val="20"/>
          <w:szCs w:val="20"/>
        </w:rPr>
        <w:t xml:space="preserve"> and the Imperial Russian Family amply justify a new icon of SS. Constantine and Helena.</w:t>
      </w:r>
    </w:p>
    <w:p w14:paraId="64D77198"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It is possible that the mosaic from Hinton St Mary, now in the British Museum, shows not Jesus Christ but Constantine with the labarum (</w:t>
      </w:r>
      <w:r w:rsidRPr="0059688B">
        <w:rPr>
          <w:rFonts w:ascii="Helvetica" w:eastAsia="Times New Roman" w:hAnsi="Helvetica" w:cs="Helvetica"/>
          <w:i/>
          <w:iCs/>
          <w:color w:val="333333"/>
          <w:sz w:val="20"/>
          <w:szCs w:val="20"/>
          <w:bdr w:val="none" w:sz="0" w:space="0" w:color="auto" w:frame="1"/>
        </w:rPr>
        <w:t>Chi Rho</w:t>
      </w:r>
      <w:r w:rsidRPr="0059688B">
        <w:rPr>
          <w:rFonts w:ascii="Helvetica" w:eastAsia="Times New Roman" w:hAnsi="Helvetica" w:cs="Helvetica"/>
          <w:color w:val="333333"/>
          <w:sz w:val="20"/>
          <w:szCs w:val="20"/>
        </w:rPr>
        <w:t> symbol) behind his head. The eyes and neck are strong, the chin cleft, the head hair ridged as in the colossal bust in Rome. One may hypothesize that a former British resident, who had accompanied Constantine on his journey to power, had been rewarded with land in Britain and there exalted his leader in this form – combining the recognizable face and the mystic symbol which had led to victory. This clean-shaven possible Constantine is in keeping with the imagery of the beardless youth carrying the sheep: the normal representation of Jesus </w:t>
      </w:r>
      <w:r w:rsidRPr="0059688B">
        <w:rPr>
          <w:rFonts w:ascii="Helvetica" w:eastAsia="Times New Roman" w:hAnsi="Helvetica" w:cs="Helvetica"/>
          <w:i/>
          <w:iCs/>
          <w:color w:val="333333"/>
          <w:sz w:val="20"/>
          <w:szCs w:val="20"/>
          <w:bdr w:val="none" w:sz="0" w:space="0" w:color="auto" w:frame="1"/>
        </w:rPr>
        <w:t>at this period.</w:t>
      </w:r>
    </w:p>
    <w:p w14:paraId="382DBF24"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 xml:space="preserve">In the West, the papacy used Constantine to justify papal power (the False Decretals), and there is in Rome much evidence of his munificence (pp. 85–89). The pavement of the basilica in York – beneath the </w:t>
      </w:r>
      <w:r w:rsidRPr="0059688B">
        <w:rPr>
          <w:rFonts w:ascii="Helvetica" w:eastAsia="Times New Roman" w:hAnsi="Helvetica" w:cs="Helvetica"/>
          <w:color w:val="333333"/>
          <w:sz w:val="20"/>
          <w:szCs w:val="20"/>
        </w:rPr>
        <w:lastRenderedPageBreak/>
        <w:t xml:space="preserve">Minster – may be where he was acclaimed when his father </w:t>
      </w:r>
      <w:proofErr w:type="spellStart"/>
      <w:r w:rsidRPr="0059688B">
        <w:rPr>
          <w:rFonts w:ascii="Helvetica" w:eastAsia="Times New Roman" w:hAnsi="Helvetica" w:cs="Helvetica"/>
          <w:color w:val="333333"/>
          <w:sz w:val="20"/>
          <w:szCs w:val="20"/>
        </w:rPr>
        <w:t>Constantius</w:t>
      </w:r>
      <w:proofErr w:type="spellEnd"/>
      <w:r w:rsidRPr="0059688B">
        <w:rPr>
          <w:rFonts w:ascii="Helvetica" w:eastAsia="Times New Roman" w:hAnsi="Helvetica" w:cs="Helvetica"/>
          <w:color w:val="333333"/>
          <w:sz w:val="20"/>
          <w:szCs w:val="20"/>
        </w:rPr>
        <w:t xml:space="preserve"> died, thus, gaining support for his march towards supreme power. Beside the Minster is a fine seated Constantine, thoughtful as if considering whether Christ can sanctify earthly power.</w:t>
      </w:r>
    </w:p>
    <w:p w14:paraId="4E0AA9A2"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 xml:space="preserve">Yet, the British school curriculum ignores the huge impact of the Christian Roman (or Byzantine) Empire. The Orthodox Churches now have representatives to the European Union, but knowledge of the countries from which they come (Greece, Cyprus, Romania, Bulgaria) is slight. Little </w:t>
      </w:r>
      <w:proofErr w:type="spellStart"/>
      <w:r w:rsidRPr="0059688B">
        <w:rPr>
          <w:rFonts w:ascii="Helvetica" w:eastAsia="Times New Roman" w:hAnsi="Helvetica" w:cs="Helvetica"/>
          <w:color w:val="333333"/>
          <w:sz w:val="20"/>
          <w:szCs w:val="20"/>
        </w:rPr>
        <w:t>Englandism</w:t>
      </w:r>
      <w:proofErr w:type="spellEnd"/>
      <w:r w:rsidRPr="0059688B">
        <w:rPr>
          <w:rFonts w:ascii="Helvetica" w:eastAsia="Times New Roman" w:hAnsi="Helvetica" w:cs="Helvetica"/>
          <w:color w:val="333333"/>
          <w:sz w:val="20"/>
          <w:szCs w:val="20"/>
        </w:rPr>
        <w:t xml:space="preserve"> may account for this; but it is beneficial for British children to know about those countries since their majority religion is present also in other EU member states (e.g., Hungary and Poland), and is reviving in Russia, Ukraine, Georgia, etc.</w:t>
      </w:r>
    </w:p>
    <w:p w14:paraId="0A1A98BA"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Perhaps Constantine saw the priesthood of all believers (1 Peter 2: 9) as justifying his role in Nicaea and other Church councils (notably Arles, 314, where British bishops were present – York, London and Lincoln – or Colchester or Caerleon-on-</w:t>
      </w:r>
      <w:proofErr w:type="spellStart"/>
      <w:r w:rsidRPr="0059688B">
        <w:rPr>
          <w:rFonts w:ascii="Helvetica" w:eastAsia="Times New Roman" w:hAnsi="Helvetica" w:cs="Helvetica"/>
          <w:color w:val="333333"/>
          <w:sz w:val="20"/>
          <w:szCs w:val="20"/>
        </w:rPr>
        <w:t>Usk</w:t>
      </w:r>
      <w:proofErr w:type="spellEnd"/>
      <w:r w:rsidRPr="0059688B">
        <w:rPr>
          <w:rFonts w:ascii="Helvetica" w:eastAsia="Times New Roman" w:hAnsi="Helvetica" w:cs="Helvetica"/>
          <w:color w:val="333333"/>
          <w:sz w:val="20"/>
          <w:szCs w:val="20"/>
        </w:rPr>
        <w:t>). Indeed, the novelty of Constantine's identity – a Yorkshire Serb – may have made him an agent for Christ as well as 'a good emperor'. But A.D. Lindsay's idea of toleration related to the doctrines of a royal priesthood and to the diversity of gifts (1 Corinthians 12) may be more liberal than Constantine could have been [[ </w:t>
      </w:r>
      <w:hyperlink r:id="rId20" w:anchor="bib1" w:tooltip="1" w:history="1">
        <w:r w:rsidRPr="0059688B">
          <w:rPr>
            <w:rFonts w:ascii="Helvetica" w:eastAsia="Times New Roman" w:hAnsi="Helvetica" w:cs="Helvetica"/>
            <w:color w:val="005BC6"/>
            <w:sz w:val="20"/>
            <w:szCs w:val="20"/>
            <w:bdr w:val="none" w:sz="0" w:space="0" w:color="auto" w:frame="1"/>
          </w:rPr>
          <w:t>1</w:t>
        </w:r>
      </w:hyperlink>
      <w:r w:rsidRPr="0059688B">
        <w:rPr>
          <w:rFonts w:ascii="Helvetica" w:eastAsia="Times New Roman" w:hAnsi="Helvetica" w:cs="Helvetica"/>
          <w:color w:val="333333"/>
          <w:sz w:val="20"/>
          <w:szCs w:val="20"/>
        </w:rPr>
        <w:t>]]; although T.G. Elliott sees his tolerance towards Arius as reflecting his wisdom and his understanding of theological questions, and not as a political ploy [[ </w:t>
      </w:r>
      <w:hyperlink r:id="rId21" w:anchor="bib2" w:tooltip="2" w:history="1">
        <w:r w:rsidRPr="0059688B">
          <w:rPr>
            <w:rFonts w:ascii="Helvetica" w:eastAsia="Times New Roman" w:hAnsi="Helvetica" w:cs="Helvetica"/>
            <w:color w:val="005BC6"/>
            <w:sz w:val="20"/>
            <w:szCs w:val="20"/>
            <w:bdr w:val="none" w:sz="0" w:space="0" w:color="auto" w:frame="1"/>
          </w:rPr>
          <w:t>2</w:t>
        </w:r>
      </w:hyperlink>
      <w:r w:rsidRPr="0059688B">
        <w:rPr>
          <w:rFonts w:ascii="Helvetica" w:eastAsia="Times New Roman" w:hAnsi="Helvetica" w:cs="Helvetica"/>
          <w:color w:val="333333"/>
          <w:sz w:val="20"/>
          <w:szCs w:val="20"/>
        </w:rPr>
        <w:t>]].</w:t>
      </w:r>
    </w:p>
    <w:p w14:paraId="3961C820"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There is a parallel between Constantine and Asoka, the protector of Buddhism in India. Basham argues that the doctrine of the Suffering Bodhisattva enters India from Persia where Christianity was 'vigorous' from the third C AD onwards [[ </w:t>
      </w:r>
      <w:hyperlink r:id="rId22" w:anchor="bib3" w:tooltip="3" w:history="1">
        <w:r w:rsidRPr="0059688B">
          <w:rPr>
            <w:rFonts w:ascii="Helvetica" w:eastAsia="Times New Roman" w:hAnsi="Helvetica" w:cs="Helvetica"/>
            <w:color w:val="005BC6"/>
            <w:sz w:val="20"/>
            <w:szCs w:val="20"/>
            <w:bdr w:val="none" w:sz="0" w:space="0" w:color="auto" w:frame="1"/>
          </w:rPr>
          <w:t>3</w:t>
        </w:r>
      </w:hyperlink>
      <w:r w:rsidRPr="0059688B">
        <w:rPr>
          <w:rFonts w:ascii="Helvetica" w:eastAsia="Times New Roman" w:hAnsi="Helvetica" w:cs="Helvetica"/>
          <w:color w:val="333333"/>
          <w:sz w:val="20"/>
          <w:szCs w:val="20"/>
        </w:rPr>
        <w:t xml:space="preserve">]]. Basham also suggests that St Paul's reference to the sacrifice of a burned body (1 Corinthians 13: 3) may echo a report from Athenians to him of </w:t>
      </w:r>
      <w:proofErr w:type="spellStart"/>
      <w:r w:rsidRPr="0059688B">
        <w:rPr>
          <w:rFonts w:ascii="Helvetica" w:eastAsia="Times New Roman" w:hAnsi="Helvetica" w:cs="Helvetica"/>
          <w:color w:val="333333"/>
          <w:sz w:val="20"/>
          <w:szCs w:val="20"/>
        </w:rPr>
        <w:t>Zarmanochegas</w:t>
      </w:r>
      <w:proofErr w:type="spellEnd"/>
      <w:r w:rsidRPr="0059688B">
        <w:rPr>
          <w:rFonts w:ascii="Helvetica" w:eastAsia="Times New Roman" w:hAnsi="Helvetica" w:cs="Helvetica"/>
          <w:color w:val="333333"/>
          <w:sz w:val="20"/>
          <w:szCs w:val="20"/>
        </w:rPr>
        <w:t xml:space="preserve"> (Skt. </w:t>
      </w:r>
      <w:proofErr w:type="spellStart"/>
      <w:r w:rsidRPr="0059688B">
        <w:rPr>
          <w:rFonts w:ascii="Helvetica" w:eastAsia="Times New Roman" w:hAnsi="Helvetica" w:cs="Helvetica"/>
          <w:color w:val="333333"/>
          <w:sz w:val="20"/>
          <w:szCs w:val="20"/>
        </w:rPr>
        <w:t>Sramanacarya</w:t>
      </w:r>
      <w:proofErr w:type="spellEnd"/>
      <w:r w:rsidRPr="0059688B">
        <w:rPr>
          <w:rFonts w:ascii="Helvetica" w:eastAsia="Times New Roman" w:hAnsi="Helvetica" w:cs="Helvetica"/>
          <w:color w:val="333333"/>
          <w:sz w:val="20"/>
          <w:szCs w:val="20"/>
        </w:rPr>
        <w:t>) who, ca 20 BC as a member of an Indian embassy to Augustus when he was at Athens, destroyed himself by fire there [[ </w:t>
      </w:r>
      <w:hyperlink r:id="rId23" w:anchor="bib3" w:tooltip="3" w:history="1">
        <w:r w:rsidRPr="0059688B">
          <w:rPr>
            <w:rFonts w:ascii="Helvetica" w:eastAsia="Times New Roman" w:hAnsi="Helvetica" w:cs="Helvetica"/>
            <w:color w:val="005BC6"/>
            <w:sz w:val="20"/>
            <w:szCs w:val="20"/>
            <w:bdr w:val="none" w:sz="0" w:space="0" w:color="auto" w:frame="1"/>
          </w:rPr>
          <w:t>3</w:t>
        </w:r>
      </w:hyperlink>
      <w:r w:rsidRPr="0059688B">
        <w:rPr>
          <w:rFonts w:ascii="Helvetica" w:eastAsia="Times New Roman" w:hAnsi="Helvetica" w:cs="Helvetica"/>
          <w:color w:val="333333"/>
          <w:sz w:val="20"/>
          <w:szCs w:val="20"/>
        </w:rPr>
        <w:t>], p. 231].</w:t>
      </w:r>
    </w:p>
    <w:p w14:paraId="77474212"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Since Paul would have heard of this in 50 or 51, days when Christian faith was a risk for believers, the Apostle's powerful rhetoric would have incorporated the memory in his great hymn to love, and thus have given to the world </w:t>
      </w:r>
      <w:r w:rsidRPr="0059688B">
        <w:rPr>
          <w:rFonts w:ascii="Helvetica" w:eastAsia="Times New Roman" w:hAnsi="Helvetica" w:cs="Helvetica"/>
          <w:i/>
          <w:iCs/>
          <w:color w:val="333333"/>
          <w:sz w:val="20"/>
          <w:szCs w:val="20"/>
          <w:bdr w:val="none" w:sz="0" w:space="0" w:color="auto" w:frame="1"/>
        </w:rPr>
        <w:t>before</w:t>
      </w:r>
      <w:r w:rsidRPr="0059688B">
        <w:rPr>
          <w:rFonts w:ascii="Helvetica" w:eastAsia="Times New Roman" w:hAnsi="Helvetica" w:cs="Helvetica"/>
          <w:color w:val="333333"/>
          <w:sz w:val="20"/>
          <w:szCs w:val="20"/>
        </w:rPr>
        <w:t xml:space="preserve"> Constantine a mechanism by which to encounter the life of Jesus. The Athenians who were eye witnesses to the self-immolation of </w:t>
      </w:r>
      <w:proofErr w:type="spellStart"/>
      <w:r w:rsidRPr="0059688B">
        <w:rPr>
          <w:rFonts w:ascii="Helvetica" w:eastAsia="Times New Roman" w:hAnsi="Helvetica" w:cs="Helvetica"/>
          <w:color w:val="333333"/>
          <w:sz w:val="20"/>
          <w:szCs w:val="20"/>
        </w:rPr>
        <w:t>Sramanacarya</w:t>
      </w:r>
      <w:proofErr w:type="spellEnd"/>
      <w:r w:rsidRPr="0059688B">
        <w:rPr>
          <w:rFonts w:ascii="Helvetica" w:eastAsia="Times New Roman" w:hAnsi="Helvetica" w:cs="Helvetica"/>
          <w:color w:val="333333"/>
          <w:sz w:val="20"/>
          <w:szCs w:val="20"/>
        </w:rPr>
        <w:t xml:space="preserve"> must have had the same vivid memory – and passed it down – as those who saw that poor girl burning with napalm (12 June 1972) or that arrested man being shot in the head by a policeman (1 February 1968) or the Buddhist monk burning himself to death (11 June 1963), during the Vietnam War.</w:t>
      </w:r>
    </w:p>
    <w:p w14:paraId="03BEB390"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 xml:space="preserve">That monk – Thich Quang Duc – is regarded as a bodhisattva. Whether Paul would have recognized in his case the quality of love which he was extolling is impossible to tell. But the Christian origin for a bodhisattva doctrine and the observation of </w:t>
      </w:r>
      <w:proofErr w:type="spellStart"/>
      <w:r w:rsidRPr="0059688B">
        <w:rPr>
          <w:rFonts w:ascii="Helvetica" w:eastAsia="Times New Roman" w:hAnsi="Helvetica" w:cs="Helvetica"/>
          <w:color w:val="333333"/>
          <w:sz w:val="20"/>
          <w:szCs w:val="20"/>
        </w:rPr>
        <w:t>Sramanacarya's</w:t>
      </w:r>
      <w:proofErr w:type="spellEnd"/>
      <w:r w:rsidRPr="0059688B">
        <w:rPr>
          <w:rFonts w:ascii="Helvetica" w:eastAsia="Times New Roman" w:hAnsi="Helvetica" w:cs="Helvetica"/>
          <w:color w:val="333333"/>
          <w:sz w:val="20"/>
          <w:szCs w:val="20"/>
        </w:rPr>
        <w:t xml:space="preserve"> self-immolation in Athens credibly strengthen the Apostle's teaching on charity. The Buddhist doctrine is an analysis far different from a Christian statement [[ </w:t>
      </w:r>
      <w:hyperlink r:id="rId24" w:anchor="bib3" w:tooltip="3" w:history="1">
        <w:r w:rsidRPr="0059688B">
          <w:rPr>
            <w:rFonts w:ascii="Helvetica" w:eastAsia="Times New Roman" w:hAnsi="Helvetica" w:cs="Helvetica"/>
            <w:color w:val="005BC6"/>
            <w:sz w:val="20"/>
            <w:szCs w:val="20"/>
            <w:bdr w:val="none" w:sz="0" w:space="0" w:color="auto" w:frame="1"/>
          </w:rPr>
          <w:t>3</w:t>
        </w:r>
      </w:hyperlink>
      <w:r w:rsidRPr="0059688B">
        <w:rPr>
          <w:rFonts w:ascii="Helvetica" w:eastAsia="Times New Roman" w:hAnsi="Helvetica" w:cs="Helvetica"/>
          <w:color w:val="333333"/>
          <w:sz w:val="20"/>
          <w:szCs w:val="20"/>
        </w:rPr>
        <w:t>], pp. 271–275]. Yet, there can be seen a congruence between the moral effects of holding to the Four Noble Truths and the Noble Eightfold Path, and holding to Christian faith which, in the Orthodox tradition, includes concern with </w:t>
      </w:r>
      <w:r w:rsidRPr="0059688B">
        <w:rPr>
          <w:rFonts w:ascii="Helvetica" w:eastAsia="Times New Roman" w:hAnsi="Helvetica" w:cs="Helvetica"/>
          <w:i/>
          <w:iCs/>
          <w:color w:val="333333"/>
          <w:sz w:val="20"/>
          <w:szCs w:val="20"/>
          <w:bdr w:val="none" w:sz="0" w:space="0" w:color="auto" w:frame="1"/>
        </w:rPr>
        <w:t>apatheia;</w:t>
      </w:r>
      <w:r w:rsidRPr="0059688B">
        <w:rPr>
          <w:rFonts w:ascii="Helvetica" w:eastAsia="Times New Roman" w:hAnsi="Helvetica" w:cs="Helvetica"/>
          <w:color w:val="333333"/>
          <w:sz w:val="20"/>
          <w:szCs w:val="20"/>
        </w:rPr>
        <w:t xml:space="preserve"> and this congruence may well account for the persistence of Christianity down to the 12th C in Lhasa and similar continuity in China. Paul could well have encountered the </w:t>
      </w:r>
      <w:proofErr w:type="spellStart"/>
      <w:r w:rsidRPr="0059688B">
        <w:rPr>
          <w:rFonts w:ascii="Helvetica" w:eastAsia="Times New Roman" w:hAnsi="Helvetica" w:cs="Helvetica"/>
          <w:color w:val="333333"/>
          <w:sz w:val="20"/>
          <w:szCs w:val="20"/>
        </w:rPr>
        <w:t>Sramanacarya</w:t>
      </w:r>
      <w:proofErr w:type="spellEnd"/>
      <w:r w:rsidRPr="0059688B">
        <w:rPr>
          <w:rFonts w:ascii="Helvetica" w:eastAsia="Times New Roman" w:hAnsi="Helvetica" w:cs="Helvetica"/>
          <w:color w:val="333333"/>
          <w:sz w:val="20"/>
          <w:szCs w:val="20"/>
        </w:rPr>
        <w:t xml:space="preserve"> episode in a riposte from the Areopagus (Acts 17: 16–34), when it would have been mentioned to see what he would make of it – i.e., to refute his preaching. At any rate, when S. Paul says 'and though I give my body to be burned, and have not charity, it </w:t>
      </w:r>
      <w:proofErr w:type="spellStart"/>
      <w:r w:rsidRPr="0059688B">
        <w:rPr>
          <w:rFonts w:ascii="Helvetica" w:eastAsia="Times New Roman" w:hAnsi="Helvetica" w:cs="Helvetica"/>
          <w:color w:val="333333"/>
          <w:sz w:val="20"/>
          <w:szCs w:val="20"/>
        </w:rPr>
        <w:t>profiteth</w:t>
      </w:r>
      <w:proofErr w:type="spellEnd"/>
      <w:r w:rsidRPr="0059688B">
        <w:rPr>
          <w:rFonts w:ascii="Helvetica" w:eastAsia="Times New Roman" w:hAnsi="Helvetica" w:cs="Helvetica"/>
          <w:color w:val="333333"/>
          <w:sz w:val="20"/>
          <w:szCs w:val="20"/>
        </w:rPr>
        <w:t xml:space="preserve"> me nothing' (1 Corinthians 13: 3), he confronts the hearer with the test of </w:t>
      </w:r>
      <w:r w:rsidRPr="0059688B">
        <w:rPr>
          <w:rFonts w:ascii="Helvetica" w:eastAsia="Times New Roman" w:hAnsi="Helvetica" w:cs="Helvetica"/>
          <w:i/>
          <w:iCs/>
          <w:color w:val="333333"/>
          <w:sz w:val="20"/>
          <w:szCs w:val="20"/>
          <w:bdr w:val="none" w:sz="0" w:space="0" w:color="auto" w:frame="1"/>
        </w:rPr>
        <w:t>agape</w:t>
      </w:r>
      <w:r w:rsidRPr="0059688B">
        <w:rPr>
          <w:rFonts w:ascii="Helvetica" w:eastAsia="Times New Roman" w:hAnsi="Helvetica" w:cs="Helvetica"/>
          <w:color w:val="333333"/>
          <w:sz w:val="20"/>
          <w:szCs w:val="20"/>
        </w:rPr>
        <w:t> – charity, unselfish love. Christians had to meet this test in the world where Constantine had to govern.</w:t>
      </w:r>
    </w:p>
    <w:p w14:paraId="45FB5B14"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Constantine's good effects exceed the pejorative results of the imperial autocracy. It is difficult to accept Smith's view that if Constantine had lost the Battle of the Milvian Bridge 'the driving force' of Christianity 'would have obtained toleration before long' [[ </w:t>
      </w:r>
      <w:hyperlink r:id="rId25" w:anchor="bib4" w:tooltip="4" w:history="1">
        <w:r w:rsidRPr="0059688B">
          <w:rPr>
            <w:rFonts w:ascii="Helvetica" w:eastAsia="Times New Roman" w:hAnsi="Helvetica" w:cs="Helvetica"/>
            <w:color w:val="005BC6"/>
            <w:sz w:val="20"/>
            <w:szCs w:val="20"/>
            <w:bdr w:val="none" w:sz="0" w:space="0" w:color="auto" w:frame="1"/>
          </w:rPr>
          <w:t>4</w:t>
        </w:r>
      </w:hyperlink>
      <w:r w:rsidRPr="0059688B">
        <w:rPr>
          <w:rFonts w:ascii="Helvetica" w:eastAsia="Times New Roman" w:hAnsi="Helvetica" w:cs="Helvetica"/>
          <w:color w:val="333333"/>
          <w:sz w:val="20"/>
          <w:szCs w:val="20"/>
        </w:rPr>
        <w:t>]]. Smith is ignoring Barnes' point that the Christians </w:t>
      </w:r>
      <w:r w:rsidRPr="0059688B">
        <w:rPr>
          <w:rFonts w:ascii="Helvetica" w:eastAsia="Times New Roman" w:hAnsi="Helvetica" w:cs="Helvetica"/>
          <w:i/>
          <w:iCs/>
          <w:color w:val="333333"/>
          <w:sz w:val="20"/>
          <w:szCs w:val="20"/>
          <w:bdr w:val="none" w:sz="0" w:space="0" w:color="auto" w:frame="1"/>
        </w:rPr>
        <w:t>were already tolerated;</w:t>
      </w:r>
      <w:r w:rsidRPr="0059688B">
        <w:rPr>
          <w:rFonts w:ascii="Helvetica" w:eastAsia="Times New Roman" w:hAnsi="Helvetica" w:cs="Helvetica"/>
          <w:color w:val="333333"/>
          <w:sz w:val="20"/>
          <w:szCs w:val="20"/>
        </w:rPr>
        <w:t> but it is difficult to believe that Christianity would have survived the collapse of the Western Empire if it had not been </w:t>
      </w:r>
      <w:r w:rsidRPr="0059688B">
        <w:rPr>
          <w:rFonts w:ascii="Helvetica" w:eastAsia="Times New Roman" w:hAnsi="Helvetica" w:cs="Helvetica"/>
          <w:i/>
          <w:iCs/>
          <w:color w:val="333333"/>
          <w:sz w:val="20"/>
          <w:szCs w:val="20"/>
          <w:bdr w:val="none" w:sz="0" w:space="0" w:color="auto" w:frame="1"/>
        </w:rPr>
        <w:t>consolidated</w:t>
      </w:r>
      <w:r w:rsidRPr="0059688B">
        <w:rPr>
          <w:rFonts w:ascii="Helvetica" w:eastAsia="Times New Roman" w:hAnsi="Helvetica" w:cs="Helvetica"/>
          <w:color w:val="333333"/>
          <w:sz w:val="20"/>
          <w:szCs w:val="20"/>
        </w:rPr>
        <w:t> by Constantine, Theodosius </w:t>
      </w:r>
      <w:r w:rsidRPr="0059688B">
        <w:rPr>
          <w:rFonts w:ascii="Helvetica" w:eastAsia="Times New Roman" w:hAnsi="Helvetica" w:cs="Helvetica"/>
          <w:i/>
          <w:iCs/>
          <w:color w:val="333333"/>
          <w:sz w:val="20"/>
          <w:szCs w:val="20"/>
          <w:bdr w:val="none" w:sz="0" w:space="0" w:color="auto" w:frame="1"/>
        </w:rPr>
        <w:t>et al</w:t>
      </w:r>
      <w:r w:rsidRPr="0059688B">
        <w:rPr>
          <w:rFonts w:ascii="Helvetica" w:eastAsia="Times New Roman" w:hAnsi="Helvetica" w:cs="Helvetica"/>
          <w:color w:val="333333"/>
          <w:sz w:val="20"/>
          <w:szCs w:val="20"/>
        </w:rPr>
        <w:t>. The almost incredible survival of Christianity in atheist Russia for 70 y is partly explained by the principle of obedience – following the leader – which rested on the autocracy of bishops who kept the Church alive despite all pressures, including being compromised in the process.</w:t>
      </w:r>
    </w:p>
    <w:p w14:paraId="56E1D7D8"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 xml:space="preserve">Yet, it is tendentious to argue that Orthodox Christianity provides a completely different context to those societies where Orthodoxy Christianity is a major influence, so that their values are Christian, humane, pro-environmental, etc. – as if these features are more deficient in non-Orthodox societies. The humane and justice-enhancing provisions of Constantine (the 'pro-Christian legislation', pp. 131–140) cannot be the total of improvements for the human condition. It is incorrect to find </w:t>
      </w:r>
      <w:proofErr w:type="spellStart"/>
      <w:r w:rsidRPr="0059688B">
        <w:rPr>
          <w:rFonts w:ascii="Helvetica" w:eastAsia="Times New Roman" w:hAnsi="Helvetica" w:cs="Helvetica"/>
          <w:color w:val="333333"/>
          <w:sz w:val="20"/>
          <w:szCs w:val="20"/>
        </w:rPr>
        <w:t>Caesaro-Papism</w:t>
      </w:r>
      <w:proofErr w:type="spellEnd"/>
      <w:r w:rsidRPr="0059688B">
        <w:rPr>
          <w:rFonts w:ascii="Helvetica" w:eastAsia="Times New Roman" w:hAnsi="Helvetica" w:cs="Helvetica"/>
          <w:color w:val="333333"/>
          <w:sz w:val="20"/>
          <w:szCs w:val="20"/>
        </w:rPr>
        <w:t xml:space="preserve"> in the West but </w:t>
      </w:r>
      <w:r w:rsidRPr="0059688B">
        <w:rPr>
          <w:rFonts w:ascii="Helvetica" w:eastAsia="Times New Roman" w:hAnsi="Helvetica" w:cs="Helvetica"/>
          <w:color w:val="333333"/>
          <w:sz w:val="20"/>
          <w:szCs w:val="20"/>
        </w:rPr>
        <w:lastRenderedPageBreak/>
        <w:t xml:space="preserve">to ignore its real and continuous impact in the East; where autocracy is a natural form of government, whether in the name of the Party or the Church. Many Orthodox clergymen uphold autocracy, ignoring socio-economic features which reduce Orthodox Christianity's influence </w:t>
      </w:r>
      <w:proofErr w:type="gramStart"/>
      <w:r w:rsidRPr="0059688B">
        <w:rPr>
          <w:rFonts w:ascii="Helvetica" w:eastAsia="Times New Roman" w:hAnsi="Helvetica" w:cs="Helvetica"/>
          <w:color w:val="333333"/>
          <w:sz w:val="20"/>
          <w:szCs w:val="20"/>
        </w:rPr>
        <w:t>to</w:t>
      </w:r>
      <w:proofErr w:type="gramEnd"/>
      <w:r w:rsidRPr="0059688B">
        <w:rPr>
          <w:rFonts w:ascii="Helvetica" w:eastAsia="Times New Roman" w:hAnsi="Helvetica" w:cs="Helvetica"/>
          <w:color w:val="333333"/>
          <w:sz w:val="20"/>
          <w:szCs w:val="20"/>
        </w:rPr>
        <w:t xml:space="preserve"> almost the status that Western society in general reduces Christianity.</w:t>
      </w:r>
    </w:p>
    <w:p w14:paraId="3122618C"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 xml:space="preserve">Barnes can help to explain what has happened. Barnes argues that in Roman provincial life, Christians were socially accepted – even as administrators – in the reign of Septimius Severus (193–211). Christianity was not brought in with trumpets in 312. It was already making sound sense. </w:t>
      </w:r>
      <w:proofErr w:type="spellStart"/>
      <w:r w:rsidRPr="0059688B">
        <w:rPr>
          <w:rFonts w:ascii="Helvetica" w:eastAsia="Times New Roman" w:hAnsi="Helvetica" w:cs="Helvetica"/>
          <w:color w:val="333333"/>
          <w:sz w:val="20"/>
          <w:szCs w:val="20"/>
        </w:rPr>
        <w:t>Gallienus</w:t>
      </w:r>
      <w:proofErr w:type="spellEnd"/>
      <w:r w:rsidRPr="0059688B">
        <w:rPr>
          <w:rFonts w:ascii="Helvetica" w:eastAsia="Times New Roman" w:hAnsi="Helvetica" w:cs="Helvetica"/>
          <w:color w:val="333333"/>
          <w:sz w:val="20"/>
          <w:szCs w:val="20"/>
        </w:rPr>
        <w:t xml:space="preserve"> made Christianity legal in 260 (p. 97). Constantine supported Christianity from 306 – when he came to power. From 312, he gave power and privilege to bishops and restored the fortunes of churches which had been plundered in persecution; and when he finally triumphed in 324, he took combative measures against non-Christian religions.</w:t>
      </w:r>
    </w:p>
    <w:p w14:paraId="0F04F6CD"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When one considers the fascination of British politicians with American figures and institutions, one can only wish that they would read this book. Well written, spare, the language carries force. Thus, at p. 3f, Barnes compares the misrepresentation by Constantine about his age with the lies used to justify Suez and the Russian repression of Hungary in 1956, and the American and British deceits in 2003 which used the 'weapons of mass destruction' to justify Iraq. If one sees that, can one ignore the need to investigate the consequences of those events and the consequences of Constantine's campaigns? Did he leave corruption and catastrophe in Mesopotamia, as the West has now done, and in Afghanistan? Barnes notes (p. 131) that Constantine introduced radical changes within an 'established juristic tradition'. He instances the development of the United States which eventually embraced equality for women and blacks – 'a development unimaginable to those who framed the constitution in the eighteenth century'. This is the kind of change which ecology now requires of society; where avoidance of planned obsolescence becomes social conformity to recycling, the freedom to travel by motor car becomes constrained and radical changes in the capitalist system re-direct market forces.</w:t>
      </w:r>
    </w:p>
    <w:p w14:paraId="4C7CE020"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The discussion of Helena's social standing (</w:t>
      </w:r>
      <w:proofErr w:type="spellStart"/>
      <w:r w:rsidRPr="0059688B">
        <w:rPr>
          <w:rFonts w:ascii="Helvetica" w:eastAsia="Times New Roman" w:hAnsi="Helvetica" w:cs="Helvetica"/>
          <w:color w:val="333333"/>
          <w:sz w:val="20"/>
          <w:szCs w:val="20"/>
        </w:rPr>
        <w:t>ch</w:t>
      </w:r>
      <w:proofErr w:type="spellEnd"/>
      <w:r w:rsidRPr="0059688B">
        <w:rPr>
          <w:rFonts w:ascii="Helvetica" w:eastAsia="Times New Roman" w:hAnsi="Helvetica" w:cs="Helvetica"/>
          <w:color w:val="333333"/>
          <w:sz w:val="20"/>
          <w:szCs w:val="20"/>
        </w:rPr>
        <w:t xml:space="preserve"> 2) is wonderful. The fine distinctions (p. 33) and the evidence for the legitimacy of Constantine (p. 35) lead on to the view (p. 45) that Constantine had a family background of Christianity; his half-sister (or as </w:t>
      </w:r>
      <w:proofErr w:type="spellStart"/>
      <w:r w:rsidRPr="0059688B">
        <w:rPr>
          <w:rFonts w:ascii="Helvetica" w:eastAsia="Times New Roman" w:hAnsi="Helvetica" w:cs="Helvetica"/>
          <w:color w:val="333333"/>
          <w:sz w:val="20"/>
          <w:szCs w:val="20"/>
        </w:rPr>
        <w:t>Chausson</w:t>
      </w:r>
      <w:proofErr w:type="spellEnd"/>
      <w:r w:rsidRPr="0059688B">
        <w:rPr>
          <w:rFonts w:ascii="Helvetica" w:eastAsia="Times New Roman" w:hAnsi="Helvetica" w:cs="Helvetica"/>
          <w:color w:val="333333"/>
          <w:sz w:val="20"/>
          <w:szCs w:val="20"/>
        </w:rPr>
        <w:t xml:space="preserve"> argues, p. 205, his sister) was Anastasia. At p. 66, Barnes refers to his study of 1973, and </w:t>
      </w:r>
      <w:proofErr w:type="gramStart"/>
      <w:r w:rsidRPr="0059688B">
        <w:rPr>
          <w:rFonts w:ascii="Helvetica" w:eastAsia="Times New Roman" w:hAnsi="Helvetica" w:cs="Helvetica"/>
          <w:color w:val="333333"/>
          <w:sz w:val="20"/>
          <w:szCs w:val="20"/>
        </w:rPr>
        <w:t>protests against</w:t>
      </w:r>
      <w:proofErr w:type="gramEnd"/>
      <w:r w:rsidRPr="0059688B">
        <w:rPr>
          <w:rFonts w:ascii="Helvetica" w:eastAsia="Times New Roman" w:hAnsi="Helvetica" w:cs="Helvetica"/>
          <w:color w:val="333333"/>
          <w:sz w:val="20"/>
          <w:szCs w:val="20"/>
        </w:rPr>
        <w:t xml:space="preserve"> ignoring </w:t>
      </w:r>
      <w:proofErr w:type="spellStart"/>
      <w:r w:rsidRPr="0059688B">
        <w:rPr>
          <w:rFonts w:ascii="Helvetica" w:eastAsia="Times New Roman" w:hAnsi="Helvetica" w:cs="Helvetica"/>
          <w:color w:val="333333"/>
          <w:sz w:val="20"/>
          <w:szCs w:val="20"/>
        </w:rPr>
        <w:t>Lactantius</w:t>
      </w:r>
      <w:proofErr w:type="spellEnd"/>
      <w:r w:rsidRPr="0059688B">
        <w:rPr>
          <w:rFonts w:ascii="Helvetica" w:eastAsia="Times New Roman" w:hAnsi="Helvetica" w:cs="Helvetica"/>
          <w:color w:val="333333"/>
          <w:sz w:val="20"/>
          <w:szCs w:val="20"/>
        </w:rPr>
        <w:t xml:space="preserve"> on Constantine's </w:t>
      </w:r>
      <w:proofErr w:type="spellStart"/>
      <w:r w:rsidRPr="0059688B">
        <w:rPr>
          <w:rFonts w:ascii="Helvetica" w:eastAsia="Times New Roman" w:hAnsi="Helvetica" w:cs="Helvetica"/>
          <w:color w:val="333333"/>
          <w:sz w:val="20"/>
          <w:szCs w:val="20"/>
        </w:rPr>
        <w:t>favours</w:t>
      </w:r>
      <w:proofErr w:type="spellEnd"/>
      <w:r w:rsidRPr="0059688B">
        <w:rPr>
          <w:rFonts w:ascii="Helvetica" w:eastAsia="Times New Roman" w:hAnsi="Helvetica" w:cs="Helvetica"/>
          <w:color w:val="333333"/>
          <w:sz w:val="20"/>
          <w:szCs w:val="20"/>
        </w:rPr>
        <w:t xml:space="preserve"> to Christians from the beginning of his reign. Barnes' analysis of Constantine's vision (pp. 74–80) concludes with the point that in 311 or 312 Constantine became convinced that a vision of a solar halo had not been a sign of </w:t>
      </w:r>
      <w:proofErr w:type="spellStart"/>
      <w:r w:rsidRPr="0059688B">
        <w:rPr>
          <w:rFonts w:ascii="Helvetica" w:eastAsia="Times New Roman" w:hAnsi="Helvetica" w:cs="Helvetica"/>
          <w:color w:val="333333"/>
          <w:sz w:val="20"/>
          <w:szCs w:val="20"/>
        </w:rPr>
        <w:t>favour</w:t>
      </w:r>
      <w:proofErr w:type="spellEnd"/>
      <w:r w:rsidRPr="0059688B">
        <w:rPr>
          <w:rFonts w:ascii="Helvetica" w:eastAsia="Times New Roman" w:hAnsi="Helvetica" w:cs="Helvetica"/>
          <w:color w:val="333333"/>
          <w:sz w:val="20"/>
          <w:szCs w:val="20"/>
        </w:rPr>
        <w:t xml:space="preserve"> by Apollo but by the God of the Christians. This layered and logical handling of data in the perspective of events is exactly what public life now lacks, although there are abundant data. Will the report from the Chilcott Inquiry have such qualities? Are they apparent in arguments for changes in energy supply and distribution or railway planning in Britain or France?</w:t>
      </w:r>
    </w:p>
    <w:p w14:paraId="6DAF1AAB"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If memory serves, Lord Rothschild in the 1970s compared the issue of nuclear wastes storage with the questions which confronted the Council of Nicaea. He was referring to the Flowers Report, which recommended against further development of Fast Breeder Reactors because they produced plutonium [[ </w:t>
      </w:r>
      <w:hyperlink r:id="rId26" w:anchor="bib5" w:tooltip="5" w:history="1">
        <w:r w:rsidRPr="0059688B">
          <w:rPr>
            <w:rFonts w:ascii="Helvetica" w:eastAsia="Times New Roman" w:hAnsi="Helvetica" w:cs="Helvetica"/>
            <w:color w:val="005BC6"/>
            <w:sz w:val="20"/>
            <w:szCs w:val="20"/>
            <w:bdr w:val="none" w:sz="0" w:space="0" w:color="auto" w:frame="1"/>
          </w:rPr>
          <w:t>5</w:t>
        </w:r>
      </w:hyperlink>
      <w:r w:rsidRPr="0059688B">
        <w:rPr>
          <w:rFonts w:ascii="Helvetica" w:eastAsia="Times New Roman" w:hAnsi="Helvetica" w:cs="Helvetica"/>
          <w:color w:val="333333"/>
          <w:sz w:val="20"/>
          <w:szCs w:val="20"/>
        </w:rPr>
        <w:t>]]; and for Flowers, the question was when terrorists would acquire plutonium for their purposes. He was also greatly concerned by fossil fuel use because of its impact on climate and considered that alternative energies needed development. In those days, the Central Policy Review Staff existed to 'think the unthinkable'. Margaret Thatcher abolished the organization. Where is there – in this new millennium – any centralized information on nuclear energy, genetic modification of food crops, recycling of water, redistribution of land in relation to unreasonably large urban populations, innovations in air and sea transport or analysis of land prices? The IPCC reports are still not mediated in an authoritative way by any national government. No government analyses the corrupting influence of access to credit (i.e., indebtedness) and exhorts society to cease enslaving itself by debt. </w:t>
      </w:r>
      <w:r w:rsidRPr="0059688B">
        <w:rPr>
          <w:rFonts w:ascii="Helvetica" w:eastAsia="Times New Roman" w:hAnsi="Helvetica" w:cs="Helvetica"/>
          <w:i/>
          <w:iCs/>
          <w:color w:val="333333"/>
          <w:sz w:val="20"/>
          <w:szCs w:val="20"/>
          <w:bdr w:val="none" w:sz="0" w:space="0" w:color="auto" w:frame="1"/>
        </w:rPr>
        <w:t>The Times</w:t>
      </w:r>
      <w:r w:rsidRPr="0059688B">
        <w:rPr>
          <w:rFonts w:ascii="Helvetica" w:eastAsia="Times New Roman" w:hAnsi="Helvetica" w:cs="Helvetica"/>
          <w:color w:val="333333"/>
          <w:sz w:val="20"/>
          <w:szCs w:val="20"/>
        </w:rPr>
        <w:t xml:space="preserve"> (12 July 2014) reports a Ministry of </w:t>
      </w:r>
      <w:proofErr w:type="spellStart"/>
      <w:r w:rsidRPr="0059688B">
        <w:rPr>
          <w:rFonts w:ascii="Helvetica" w:eastAsia="Times New Roman" w:hAnsi="Helvetica" w:cs="Helvetica"/>
          <w:color w:val="333333"/>
          <w:sz w:val="20"/>
          <w:szCs w:val="20"/>
        </w:rPr>
        <w:t>Defence</w:t>
      </w:r>
      <w:proofErr w:type="spellEnd"/>
      <w:r w:rsidRPr="0059688B">
        <w:rPr>
          <w:rFonts w:ascii="Helvetica" w:eastAsia="Times New Roman" w:hAnsi="Helvetica" w:cs="Helvetica"/>
          <w:color w:val="333333"/>
          <w:sz w:val="20"/>
          <w:szCs w:val="20"/>
        </w:rPr>
        <w:t xml:space="preserve"> report on strategic trends for the next 30 y with minimal comment; although this report indicates awareness of potential conflicts because of population numbers, access to water supplies and US vs. China tensions [[ </w:t>
      </w:r>
      <w:hyperlink r:id="rId27" w:anchor="bib6" w:tooltip="6" w:history="1">
        <w:r w:rsidRPr="0059688B">
          <w:rPr>
            <w:rFonts w:ascii="Helvetica" w:eastAsia="Times New Roman" w:hAnsi="Helvetica" w:cs="Helvetica"/>
            <w:color w:val="005BC6"/>
            <w:sz w:val="20"/>
            <w:szCs w:val="20"/>
            <w:bdr w:val="none" w:sz="0" w:space="0" w:color="auto" w:frame="1"/>
          </w:rPr>
          <w:t>6</w:t>
        </w:r>
      </w:hyperlink>
      <w:r w:rsidRPr="0059688B">
        <w:rPr>
          <w:rFonts w:ascii="Helvetica" w:eastAsia="Times New Roman" w:hAnsi="Helvetica" w:cs="Helvetica"/>
          <w:color w:val="333333"/>
          <w:sz w:val="20"/>
          <w:szCs w:val="20"/>
        </w:rPr>
        <w:t>]]. The tragic waste of time – a generation's possibilities – distinguishes the conduct of policy in most countries. What distinguishes Constantine's activity is his awareness of the issues facing society from the standpoint of the Christians to whom he had joined himself.</w:t>
      </w:r>
    </w:p>
    <w:p w14:paraId="719EF34D"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 xml:space="preserve">The unsaintly </w:t>
      </w:r>
      <w:proofErr w:type="spellStart"/>
      <w:r w:rsidRPr="0059688B">
        <w:rPr>
          <w:rFonts w:ascii="Helvetica" w:eastAsia="Times New Roman" w:hAnsi="Helvetica" w:cs="Helvetica"/>
          <w:color w:val="333333"/>
          <w:sz w:val="20"/>
          <w:szCs w:val="20"/>
        </w:rPr>
        <w:t>behaviour</w:t>
      </w:r>
      <w:proofErr w:type="spellEnd"/>
      <w:r w:rsidRPr="0059688B">
        <w:rPr>
          <w:rFonts w:ascii="Helvetica" w:eastAsia="Times New Roman" w:hAnsi="Helvetica" w:cs="Helvetica"/>
          <w:color w:val="333333"/>
          <w:sz w:val="20"/>
          <w:szCs w:val="20"/>
        </w:rPr>
        <w:t xml:space="preserve"> of Constantine in causing </w:t>
      </w:r>
      <w:proofErr w:type="spellStart"/>
      <w:r w:rsidRPr="0059688B">
        <w:rPr>
          <w:rFonts w:ascii="Helvetica" w:eastAsia="Times New Roman" w:hAnsi="Helvetica" w:cs="Helvetica"/>
          <w:color w:val="333333"/>
          <w:sz w:val="20"/>
          <w:szCs w:val="20"/>
        </w:rPr>
        <w:t>Maximian's</w:t>
      </w:r>
      <w:proofErr w:type="spellEnd"/>
      <w:r w:rsidRPr="0059688B">
        <w:rPr>
          <w:rFonts w:ascii="Helvetica" w:eastAsia="Times New Roman" w:hAnsi="Helvetica" w:cs="Helvetica"/>
          <w:color w:val="333333"/>
          <w:sz w:val="20"/>
          <w:szCs w:val="20"/>
        </w:rPr>
        <w:t xml:space="preserve"> widow to say that Maxentius was illegitimate (p. 82) is, like many other great men's failures, not to be glossed over; yet it generally is. The discussion of Constantine's time in Rome during November and December, 312 includes the point that he may have introduced the synchronism in 312 of the birthday of the Unconquered Sun with the birthday of </w:t>
      </w:r>
      <w:r w:rsidRPr="0059688B">
        <w:rPr>
          <w:rFonts w:ascii="Helvetica" w:eastAsia="Times New Roman" w:hAnsi="Helvetica" w:cs="Helvetica"/>
          <w:color w:val="333333"/>
          <w:sz w:val="20"/>
          <w:szCs w:val="20"/>
        </w:rPr>
        <w:lastRenderedPageBreak/>
        <w:t xml:space="preserve">Christ (p. 85) and Barnes' analysis of Constantinian churches in Rome (pp. 85–89) is thorough, including Santa Croce in </w:t>
      </w:r>
      <w:proofErr w:type="spellStart"/>
      <w:r w:rsidRPr="0059688B">
        <w:rPr>
          <w:rFonts w:ascii="Helvetica" w:eastAsia="Times New Roman" w:hAnsi="Helvetica" w:cs="Helvetica"/>
          <w:color w:val="333333"/>
          <w:sz w:val="20"/>
          <w:szCs w:val="20"/>
        </w:rPr>
        <w:t>Gerusalemme</w:t>
      </w:r>
      <w:proofErr w:type="spellEnd"/>
      <w:r w:rsidRPr="0059688B">
        <w:rPr>
          <w:rFonts w:ascii="Helvetica" w:eastAsia="Times New Roman" w:hAnsi="Helvetica" w:cs="Helvetica"/>
          <w:color w:val="333333"/>
          <w:sz w:val="20"/>
          <w:szCs w:val="20"/>
        </w:rPr>
        <w:t xml:space="preserve"> and Helena's role in the Finding of the Cross (p. 87).</w:t>
      </w:r>
    </w:p>
    <w:p w14:paraId="79E8C170"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 xml:space="preserve">It is salutary to see the arguments against the idea of an Edict of Milan (pp. 93–97). </w:t>
      </w:r>
      <w:proofErr w:type="spellStart"/>
      <w:r w:rsidRPr="0059688B">
        <w:rPr>
          <w:rFonts w:ascii="Helvetica" w:eastAsia="Times New Roman" w:hAnsi="Helvetica" w:cs="Helvetica"/>
          <w:color w:val="333333"/>
          <w:sz w:val="20"/>
          <w:szCs w:val="20"/>
        </w:rPr>
        <w:t>Gallienus</w:t>
      </w:r>
      <w:proofErr w:type="spellEnd"/>
      <w:r w:rsidRPr="0059688B">
        <w:rPr>
          <w:rFonts w:ascii="Helvetica" w:eastAsia="Times New Roman" w:hAnsi="Helvetica" w:cs="Helvetica"/>
          <w:color w:val="333333"/>
          <w:sz w:val="20"/>
          <w:szCs w:val="20"/>
        </w:rPr>
        <w:t xml:space="preserve"> granted permission in 260 to Christians or perhaps bishops as heads of Christian communities to hold property – 40 y before the 'Great Persecution' (p. 97). Barnes notes Constantine's claim of provocation by </w:t>
      </w:r>
      <w:proofErr w:type="spellStart"/>
      <w:r w:rsidRPr="0059688B">
        <w:rPr>
          <w:rFonts w:ascii="Helvetica" w:eastAsia="Times New Roman" w:hAnsi="Helvetica" w:cs="Helvetica"/>
          <w:color w:val="333333"/>
          <w:sz w:val="20"/>
          <w:szCs w:val="20"/>
        </w:rPr>
        <w:t>Licinius</w:t>
      </w:r>
      <w:proofErr w:type="spellEnd"/>
      <w:r w:rsidRPr="0059688B">
        <w:rPr>
          <w:rFonts w:ascii="Helvetica" w:eastAsia="Times New Roman" w:hAnsi="Helvetica" w:cs="Helvetica"/>
          <w:color w:val="333333"/>
          <w:sz w:val="20"/>
          <w:szCs w:val="20"/>
        </w:rPr>
        <w:t xml:space="preserve"> (p. 101), comparing it with modern cases, but naming none. This makes one search memory. Hitler alleged that Poles attacked a German radio station on 31 August 1939. Eisenhower on 15 July 1958 averted a specious threat of communism in Lebanon. On 20–21 August 1968, Brezhnev froze the Prague Spring.</w:t>
      </w:r>
    </w:p>
    <w:p w14:paraId="7151D840"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 xml:space="preserve">The pages on the foundation of Constantinople (pp. 111–113) make the strong point that Constantine razed Byzantium to the ground; he did not rename or re-found Byzantium. It is unlikely that this point would be accepted by many Orthodox who would, however, gain greatly from knowing that the 'Speech to the Assembly of the Saints' was reliably Constantine's. Barnes says that 'Constantine had a genuine sense of mission' (p. 120). Some may find the Arian position not a trivial dispute, but Constantine called it that (p. 120); and perhaps we can understand that view by looking at the question of how many degrees of warming will do what when, and how many </w:t>
      </w:r>
      <w:proofErr w:type="spellStart"/>
      <w:r w:rsidRPr="0059688B">
        <w:rPr>
          <w:rFonts w:ascii="Helvetica" w:eastAsia="Times New Roman" w:hAnsi="Helvetica" w:cs="Helvetica"/>
          <w:color w:val="333333"/>
          <w:sz w:val="20"/>
          <w:szCs w:val="20"/>
        </w:rPr>
        <w:t>metres</w:t>
      </w:r>
      <w:proofErr w:type="spellEnd"/>
      <w:r w:rsidRPr="0059688B">
        <w:rPr>
          <w:rFonts w:ascii="Helvetica" w:eastAsia="Times New Roman" w:hAnsi="Helvetica" w:cs="Helvetica"/>
          <w:color w:val="333333"/>
          <w:sz w:val="20"/>
          <w:szCs w:val="20"/>
        </w:rPr>
        <w:t xml:space="preserve"> of sea level rise can be accurately predicted. Whereas Constantine's view was that the larger interests of Christianity required agreement on principles, it is not clear whether political leaders today agree on principles </w:t>
      </w:r>
      <w:proofErr w:type="gramStart"/>
      <w:r w:rsidRPr="0059688B">
        <w:rPr>
          <w:rFonts w:ascii="Helvetica" w:eastAsia="Times New Roman" w:hAnsi="Helvetica" w:cs="Helvetica"/>
          <w:color w:val="333333"/>
          <w:sz w:val="20"/>
          <w:szCs w:val="20"/>
        </w:rPr>
        <w:t>with regard to</w:t>
      </w:r>
      <w:proofErr w:type="gramEnd"/>
      <w:r w:rsidRPr="0059688B">
        <w:rPr>
          <w:rFonts w:ascii="Helvetica" w:eastAsia="Times New Roman" w:hAnsi="Helvetica" w:cs="Helvetica"/>
          <w:color w:val="333333"/>
          <w:sz w:val="20"/>
          <w:szCs w:val="20"/>
        </w:rPr>
        <w:t xml:space="preserve"> global warming. The analysis of the Council of Nicaea (pp. 120–126) would be rejected by many Orthodox, but that would be like George W. Bush's rejection of stem cell research.</w:t>
      </w:r>
    </w:p>
    <w:p w14:paraId="6BE2051C"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One must note that the observance of Lent was a Western – not an Eastern – custom, until Nicaea, and the imperial will to keep Lent from 326 onwards led to the kind of change which many institutions in the Western world need today, but for which the necessary legal authority is lacking. Can Constantine's </w:t>
      </w:r>
      <w:r w:rsidRPr="0059688B">
        <w:rPr>
          <w:rFonts w:ascii="Helvetica" w:eastAsia="Times New Roman" w:hAnsi="Helvetica" w:cs="Helvetica"/>
          <w:i/>
          <w:iCs/>
          <w:color w:val="333333"/>
          <w:sz w:val="20"/>
          <w:szCs w:val="20"/>
          <w:bdr w:val="none" w:sz="0" w:space="0" w:color="auto" w:frame="1"/>
        </w:rPr>
        <w:t>motivation</w:t>
      </w:r>
      <w:r w:rsidRPr="0059688B">
        <w:rPr>
          <w:rFonts w:ascii="Helvetica" w:eastAsia="Times New Roman" w:hAnsi="Helvetica" w:cs="Helvetica"/>
          <w:color w:val="333333"/>
          <w:sz w:val="20"/>
          <w:szCs w:val="20"/>
        </w:rPr>
        <w:t> be found among today's leaders?</w:t>
      </w:r>
    </w:p>
    <w:p w14:paraId="58EAF8BC"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 xml:space="preserve">Barnes discusses pro-Christian legislation (pp. 131–140) and notes that Constantine's belief in the probity of bishops was 'a naïve delusion which caused him endless problems in his dealings with the eastern churches... but it was nevertheless genuine' (p. 133). This is typical of Barnes' spare, fair approach. The remarks on legislation concerning the Jews (p. 138f) should be displayed at the Jewish Museum, Berlin; they show an appalling tendency among Christians – and certainly among Eastern Christians – to regard Jews as 'murderers of the Lord'. The discussion of dynastic politics after Nicaea (pp 144–172), including the deaths of </w:t>
      </w:r>
      <w:proofErr w:type="spellStart"/>
      <w:r w:rsidRPr="0059688B">
        <w:rPr>
          <w:rFonts w:ascii="Helvetica" w:eastAsia="Times New Roman" w:hAnsi="Helvetica" w:cs="Helvetica"/>
          <w:color w:val="333333"/>
          <w:sz w:val="20"/>
          <w:szCs w:val="20"/>
        </w:rPr>
        <w:t>Crispus</w:t>
      </w:r>
      <w:proofErr w:type="spellEnd"/>
      <w:r w:rsidRPr="0059688B">
        <w:rPr>
          <w:rFonts w:ascii="Helvetica" w:eastAsia="Times New Roman" w:hAnsi="Helvetica" w:cs="Helvetica"/>
          <w:color w:val="333333"/>
          <w:sz w:val="20"/>
          <w:szCs w:val="20"/>
        </w:rPr>
        <w:t xml:space="preserve"> and </w:t>
      </w:r>
      <w:proofErr w:type="spellStart"/>
      <w:r w:rsidRPr="0059688B">
        <w:rPr>
          <w:rFonts w:ascii="Helvetica" w:eastAsia="Times New Roman" w:hAnsi="Helvetica" w:cs="Helvetica"/>
          <w:color w:val="333333"/>
          <w:sz w:val="20"/>
          <w:szCs w:val="20"/>
        </w:rPr>
        <w:t>Fausta</w:t>
      </w:r>
      <w:proofErr w:type="spellEnd"/>
      <w:r w:rsidRPr="0059688B">
        <w:rPr>
          <w:rFonts w:ascii="Helvetica" w:eastAsia="Times New Roman" w:hAnsi="Helvetica" w:cs="Helvetica"/>
          <w:color w:val="333333"/>
          <w:sz w:val="20"/>
          <w:szCs w:val="20"/>
        </w:rPr>
        <w:t>, is masterly. There is a typo on p. 175 which can be easily deleted.</w:t>
      </w:r>
    </w:p>
    <w:p w14:paraId="49551DFC"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 xml:space="preserve">This book would go far towards elucidating contemporary political life </w:t>
      </w:r>
      <w:proofErr w:type="gramStart"/>
      <w:r w:rsidRPr="0059688B">
        <w:rPr>
          <w:rFonts w:ascii="Helvetica" w:eastAsia="Times New Roman" w:hAnsi="Helvetica" w:cs="Helvetica"/>
          <w:color w:val="333333"/>
          <w:sz w:val="20"/>
          <w:szCs w:val="20"/>
        </w:rPr>
        <w:t>with regard to</w:t>
      </w:r>
      <w:proofErr w:type="gramEnd"/>
      <w:r w:rsidRPr="0059688B">
        <w:rPr>
          <w:rFonts w:ascii="Helvetica" w:eastAsia="Times New Roman" w:hAnsi="Helvetica" w:cs="Helvetica"/>
          <w:color w:val="333333"/>
          <w:sz w:val="20"/>
          <w:szCs w:val="20"/>
        </w:rPr>
        <w:t xml:space="preserve"> the new questions of doctrine, such as economics, ecology, the rights of the United States and human rights. In the Renaissance, scholars looked back to classical events; and Shakespeare, as a British example, does this in many plays. Now that the world has moved through empires into new efforts at organization in groups (e.g., the Commonwealth, the European Union, the Commonwealth of Independent States), it is necessary to think with care about using the past to open a way forward; and Barnes' achievement is that he does this with admiration for Constantine but with a suspicion of great power and its machinations. Constantine used both co-operation and coercion. No Christian and no ecologist should object to thinking like that. That was humbly what Constantine did when (p. 121) he sat not on a throne but a stool at Nicaea.</w:t>
      </w:r>
    </w:p>
    <w:p w14:paraId="616C36A5"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 Michael Brett-Crowther, 2014 </w:t>
      </w:r>
      <w:hyperlink r:id="rId28" w:history="1">
        <w:r w:rsidRPr="0059688B">
          <w:rPr>
            <w:rFonts w:ascii="Helvetica" w:eastAsia="Times New Roman" w:hAnsi="Helvetica" w:cs="Helvetica"/>
            <w:color w:val="005BC6"/>
            <w:sz w:val="20"/>
            <w:szCs w:val="20"/>
            <w:bdr w:val="none" w:sz="0" w:space="0" w:color="auto" w:frame="1"/>
          </w:rPr>
          <w:t>http://dx.doi.org/10.1080/00207233.2014.947728</w:t>
        </w:r>
      </w:hyperlink>
    </w:p>
    <w:p w14:paraId="0F793994"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hyperlink r:id="rId29" w:anchor="toc" w:tooltip=" References  " w:history="1">
        <w:r w:rsidRPr="0059688B">
          <w:rPr>
            <w:rFonts w:ascii="Helvetica" w:eastAsia="Times New Roman" w:hAnsi="Helvetica" w:cs="Helvetica"/>
            <w:b/>
            <w:bCs/>
            <w:color w:val="005BC6"/>
            <w:sz w:val="20"/>
            <w:szCs w:val="20"/>
            <w:bdr w:val="none" w:sz="0" w:space="0" w:color="auto" w:frame="1"/>
          </w:rPr>
          <w:t>References</w:t>
        </w:r>
      </w:hyperlink>
    </w:p>
    <w:p w14:paraId="38A289E1"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hyperlink r:id="rId30" w:anchor="bib1up" w:tooltip="1" w:history="1">
        <w:r w:rsidRPr="0059688B">
          <w:rPr>
            <w:rFonts w:ascii="Helvetica" w:eastAsia="Times New Roman" w:hAnsi="Helvetica" w:cs="Helvetica"/>
            <w:i/>
            <w:iCs/>
            <w:color w:val="005BC6"/>
            <w:sz w:val="20"/>
            <w:szCs w:val="20"/>
            <w:bdr w:val="none" w:sz="0" w:space="0" w:color="auto" w:frame="1"/>
          </w:rPr>
          <w:t>1</w:t>
        </w:r>
      </w:hyperlink>
      <w:r w:rsidRPr="0059688B">
        <w:rPr>
          <w:rFonts w:ascii="Helvetica" w:eastAsia="Times New Roman" w:hAnsi="Helvetica" w:cs="Helvetica"/>
          <w:i/>
          <w:iCs/>
          <w:color w:val="333333"/>
          <w:sz w:val="20"/>
          <w:szCs w:val="20"/>
          <w:bdr w:val="none" w:sz="0" w:space="0" w:color="auto" w:frame="1"/>
        </w:rPr>
        <w:t> Lindsay, A.D., 1934, The Churches and Democracy (London: Epworth), p. 26; cf. remarks, prompted by Germany under Hitler, on obliteration of the distinction between State and society, p. 44.</w:t>
      </w:r>
    </w:p>
    <w:p w14:paraId="4E904F89"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hyperlink r:id="rId31" w:anchor="bib2up" w:tooltip="2" w:history="1">
        <w:r w:rsidRPr="0059688B">
          <w:rPr>
            <w:rFonts w:ascii="Helvetica" w:eastAsia="Times New Roman" w:hAnsi="Helvetica" w:cs="Helvetica"/>
            <w:i/>
            <w:iCs/>
            <w:color w:val="005BC6"/>
            <w:sz w:val="20"/>
            <w:szCs w:val="20"/>
            <w:bdr w:val="none" w:sz="0" w:space="0" w:color="auto" w:frame="1"/>
          </w:rPr>
          <w:t>2</w:t>
        </w:r>
      </w:hyperlink>
      <w:r w:rsidRPr="0059688B">
        <w:rPr>
          <w:rFonts w:ascii="Helvetica" w:eastAsia="Times New Roman" w:hAnsi="Helvetica" w:cs="Helvetica"/>
          <w:i/>
          <w:iCs/>
          <w:color w:val="333333"/>
          <w:sz w:val="20"/>
          <w:szCs w:val="20"/>
          <w:bdr w:val="none" w:sz="0" w:space="0" w:color="auto" w:frame="1"/>
        </w:rPr>
        <w:t> Elliott, T.G., 1992, Constantine and 'the Arian reaction after Nicaea'. The Journal of Ecclesiastical History, 43, 169–194.10.1017/S0022046900000877</w:t>
      </w:r>
    </w:p>
    <w:p w14:paraId="11480999"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hyperlink r:id="rId32" w:anchor="bib3up" w:tooltip="3" w:history="1">
        <w:r w:rsidRPr="0059688B">
          <w:rPr>
            <w:rFonts w:ascii="Helvetica" w:eastAsia="Times New Roman" w:hAnsi="Helvetica" w:cs="Helvetica"/>
            <w:i/>
            <w:iCs/>
            <w:color w:val="005BC6"/>
            <w:sz w:val="20"/>
            <w:szCs w:val="20"/>
            <w:bdr w:val="none" w:sz="0" w:space="0" w:color="auto" w:frame="1"/>
          </w:rPr>
          <w:t>3</w:t>
        </w:r>
      </w:hyperlink>
      <w:r w:rsidRPr="0059688B">
        <w:rPr>
          <w:rFonts w:ascii="Helvetica" w:eastAsia="Times New Roman" w:hAnsi="Helvetica" w:cs="Helvetica"/>
          <w:i/>
          <w:iCs/>
          <w:color w:val="333333"/>
          <w:sz w:val="20"/>
          <w:szCs w:val="20"/>
          <w:bdr w:val="none" w:sz="0" w:space="0" w:color="auto" w:frame="1"/>
        </w:rPr>
        <w:t xml:space="preserve"> Basham, A.L., 1967, The Wonder that Was India: A Survey of the History and Culture of the Indian Sub-continent Before the Coming of the Muslims, 3rd rev </w:t>
      </w:r>
      <w:proofErr w:type="spellStart"/>
      <w:r w:rsidRPr="0059688B">
        <w:rPr>
          <w:rFonts w:ascii="Helvetica" w:eastAsia="Times New Roman" w:hAnsi="Helvetica" w:cs="Helvetica"/>
          <w:i/>
          <w:iCs/>
          <w:color w:val="333333"/>
          <w:sz w:val="20"/>
          <w:szCs w:val="20"/>
          <w:bdr w:val="none" w:sz="0" w:space="0" w:color="auto" w:frame="1"/>
        </w:rPr>
        <w:t>edn</w:t>
      </w:r>
      <w:proofErr w:type="spellEnd"/>
      <w:r w:rsidRPr="0059688B">
        <w:rPr>
          <w:rFonts w:ascii="Helvetica" w:eastAsia="Times New Roman" w:hAnsi="Helvetica" w:cs="Helvetica"/>
          <w:i/>
          <w:iCs/>
          <w:color w:val="333333"/>
          <w:sz w:val="20"/>
          <w:szCs w:val="20"/>
          <w:bdr w:val="none" w:sz="0" w:space="0" w:color="auto" w:frame="1"/>
        </w:rPr>
        <w:t xml:space="preserve">. (London: Sidgwick &amp; Jackson); first pub 1954, p. 278. Basham notes that Ananda occupies in Buddhism a position </w:t>
      </w:r>
      <w:proofErr w:type="gramStart"/>
      <w:r w:rsidRPr="0059688B">
        <w:rPr>
          <w:rFonts w:ascii="Helvetica" w:eastAsia="Times New Roman" w:hAnsi="Helvetica" w:cs="Helvetica"/>
          <w:i/>
          <w:iCs/>
          <w:color w:val="333333"/>
          <w:sz w:val="20"/>
          <w:szCs w:val="20"/>
          <w:bdr w:val="none" w:sz="0" w:space="0" w:color="auto" w:frame="1"/>
        </w:rPr>
        <w:t>similar to</w:t>
      </w:r>
      <w:proofErr w:type="gramEnd"/>
      <w:r w:rsidRPr="0059688B">
        <w:rPr>
          <w:rFonts w:ascii="Helvetica" w:eastAsia="Times New Roman" w:hAnsi="Helvetica" w:cs="Helvetica"/>
          <w:i/>
          <w:iCs/>
          <w:color w:val="333333"/>
          <w:sz w:val="20"/>
          <w:szCs w:val="20"/>
          <w:bdr w:val="none" w:sz="0" w:space="0" w:color="auto" w:frame="1"/>
        </w:rPr>
        <w:t xml:space="preserve"> that of St John, the beloved disciple, in Christianity, p. 263.</w:t>
      </w:r>
    </w:p>
    <w:p w14:paraId="13A4E95C"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hyperlink r:id="rId33" w:anchor="bib4up" w:tooltip="4" w:history="1">
        <w:r w:rsidRPr="0059688B">
          <w:rPr>
            <w:rFonts w:ascii="Helvetica" w:eastAsia="Times New Roman" w:hAnsi="Helvetica" w:cs="Helvetica"/>
            <w:i/>
            <w:iCs/>
            <w:color w:val="005BC6"/>
            <w:sz w:val="20"/>
            <w:szCs w:val="20"/>
            <w:bdr w:val="none" w:sz="0" w:space="0" w:color="auto" w:frame="1"/>
          </w:rPr>
          <w:t>4</w:t>
        </w:r>
      </w:hyperlink>
      <w:r w:rsidRPr="0059688B">
        <w:rPr>
          <w:rFonts w:ascii="Helvetica" w:eastAsia="Times New Roman" w:hAnsi="Helvetica" w:cs="Helvetica"/>
          <w:i/>
          <w:iCs/>
          <w:color w:val="333333"/>
          <w:sz w:val="20"/>
          <w:szCs w:val="20"/>
          <w:bdr w:val="none" w:sz="0" w:space="0" w:color="auto" w:frame="1"/>
        </w:rPr>
        <w:t> Smith, M.A., 1971, From Christ to Constantine, (Downers Grove, IL: Inter-Varsity), p. 177.</w:t>
      </w:r>
    </w:p>
    <w:p w14:paraId="3899196E"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hyperlink r:id="rId34" w:anchor="bib5up" w:tooltip="5" w:history="1">
        <w:r w:rsidRPr="0059688B">
          <w:rPr>
            <w:rFonts w:ascii="Helvetica" w:eastAsia="Times New Roman" w:hAnsi="Helvetica" w:cs="Helvetica"/>
            <w:i/>
            <w:iCs/>
            <w:color w:val="005BC6"/>
            <w:sz w:val="20"/>
            <w:szCs w:val="20"/>
            <w:bdr w:val="none" w:sz="0" w:space="0" w:color="auto" w:frame="1"/>
          </w:rPr>
          <w:t>5</w:t>
        </w:r>
      </w:hyperlink>
      <w:r w:rsidRPr="0059688B">
        <w:rPr>
          <w:rFonts w:ascii="Helvetica" w:eastAsia="Times New Roman" w:hAnsi="Helvetica" w:cs="Helvetica"/>
          <w:i/>
          <w:iCs/>
          <w:color w:val="333333"/>
          <w:sz w:val="20"/>
          <w:szCs w:val="20"/>
          <w:bdr w:val="none" w:sz="0" w:space="0" w:color="auto" w:frame="1"/>
        </w:rPr>
        <w:t xml:space="preserve"> Nuclear Power and the Environment, Royal Commission on Environmental Pollution, September 1976, 6th Report, </w:t>
      </w:r>
      <w:proofErr w:type="spellStart"/>
      <w:r w:rsidRPr="0059688B">
        <w:rPr>
          <w:rFonts w:ascii="Helvetica" w:eastAsia="Times New Roman" w:hAnsi="Helvetica" w:cs="Helvetica"/>
          <w:i/>
          <w:iCs/>
          <w:color w:val="333333"/>
          <w:sz w:val="20"/>
          <w:szCs w:val="20"/>
          <w:bdr w:val="none" w:sz="0" w:space="0" w:color="auto" w:frame="1"/>
        </w:rPr>
        <w:t>Cmnd</w:t>
      </w:r>
      <w:proofErr w:type="spellEnd"/>
      <w:r w:rsidRPr="0059688B">
        <w:rPr>
          <w:rFonts w:ascii="Helvetica" w:eastAsia="Times New Roman" w:hAnsi="Helvetica" w:cs="Helvetica"/>
          <w:i/>
          <w:iCs/>
          <w:color w:val="333333"/>
          <w:sz w:val="20"/>
          <w:szCs w:val="20"/>
          <w:bdr w:val="none" w:sz="0" w:space="0" w:color="auto" w:frame="1"/>
        </w:rPr>
        <w:t>. 6618, Chairman, Sir Brian Flowers (London: HMSO), especially pp. 70, 85, 104, 189f., and 200–205.</w:t>
      </w:r>
    </w:p>
    <w:p w14:paraId="647174D7"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hyperlink r:id="rId35" w:anchor="bib6up" w:tooltip="6" w:history="1">
        <w:r w:rsidRPr="0059688B">
          <w:rPr>
            <w:rFonts w:ascii="Helvetica" w:eastAsia="Times New Roman" w:hAnsi="Helvetica" w:cs="Helvetica"/>
            <w:i/>
            <w:iCs/>
            <w:color w:val="005BC6"/>
            <w:sz w:val="20"/>
            <w:szCs w:val="20"/>
            <w:bdr w:val="none" w:sz="0" w:space="0" w:color="auto" w:frame="1"/>
          </w:rPr>
          <w:t>6</w:t>
        </w:r>
      </w:hyperlink>
      <w:r w:rsidRPr="0059688B">
        <w:rPr>
          <w:rFonts w:ascii="Helvetica" w:eastAsia="Times New Roman" w:hAnsi="Helvetica" w:cs="Helvetica"/>
          <w:i/>
          <w:iCs/>
          <w:color w:val="333333"/>
          <w:sz w:val="20"/>
          <w:szCs w:val="20"/>
          <w:bdr w:val="none" w:sz="0" w:space="0" w:color="auto" w:frame="1"/>
        </w:rPr>
        <w:t xml:space="preserve"> Haynes, D., </w:t>
      </w:r>
      <w:proofErr w:type="spellStart"/>
      <w:r w:rsidRPr="0059688B">
        <w:rPr>
          <w:rFonts w:ascii="Helvetica" w:eastAsia="Times New Roman" w:hAnsi="Helvetica" w:cs="Helvetica"/>
          <w:i/>
          <w:iCs/>
          <w:color w:val="333333"/>
          <w:sz w:val="20"/>
          <w:szCs w:val="20"/>
          <w:bdr w:val="none" w:sz="0" w:space="0" w:color="auto" w:frame="1"/>
        </w:rPr>
        <w:t>Defence</w:t>
      </w:r>
      <w:proofErr w:type="spellEnd"/>
      <w:r w:rsidRPr="0059688B">
        <w:rPr>
          <w:rFonts w:ascii="Helvetica" w:eastAsia="Times New Roman" w:hAnsi="Helvetica" w:cs="Helvetica"/>
          <w:i/>
          <w:iCs/>
          <w:color w:val="333333"/>
          <w:sz w:val="20"/>
          <w:szCs w:val="20"/>
          <w:bdr w:val="none" w:sz="0" w:space="0" w:color="auto" w:frame="1"/>
        </w:rPr>
        <w:t xml:space="preserve"> Editor, 2014, MOD warns of US-China war by 2045, The Times, 12 July, p. 17.</w:t>
      </w:r>
    </w:p>
    <w:p w14:paraId="6F9C3AD0"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lastRenderedPageBreak/>
        <w:t>~~~~~~~~</w:t>
      </w:r>
    </w:p>
    <w:p w14:paraId="57892E2E"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By Michael Brett-Crowther</w:t>
      </w:r>
    </w:p>
    <w:p w14:paraId="44BD74DA" w14:textId="77777777" w:rsidR="0059688B" w:rsidRPr="0059688B" w:rsidRDefault="0059688B" w:rsidP="0059688B">
      <w:pPr>
        <w:spacing w:after="0" w:line="240" w:lineRule="auto"/>
        <w:textAlignment w:val="baseline"/>
        <w:rPr>
          <w:rFonts w:ascii="Helvetica" w:eastAsia="Times New Roman" w:hAnsi="Helvetica" w:cs="Helvetica"/>
          <w:color w:val="333333"/>
          <w:sz w:val="20"/>
          <w:szCs w:val="20"/>
        </w:rPr>
      </w:pPr>
      <w:r w:rsidRPr="0059688B">
        <w:rPr>
          <w:rFonts w:ascii="Helvetica" w:eastAsia="Times New Roman" w:hAnsi="Helvetica" w:cs="Helvetica"/>
          <w:color w:val="333333"/>
          <w:sz w:val="20"/>
          <w:szCs w:val="20"/>
        </w:rPr>
        <w:t>Reported by Author</w:t>
      </w:r>
    </w:p>
    <w:p w14:paraId="36DBCD12" w14:textId="77777777" w:rsidR="0059688B" w:rsidRDefault="0059688B"/>
    <w:sectPr w:rsidR="00596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A4629FF"/>
    <w:multiLevelType w:val="multilevel"/>
    <w:tmpl w:val="B39C0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88B"/>
    <w:rsid w:val="00596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2BADC"/>
  <w15:chartTrackingRefBased/>
  <w15:docId w15:val="{D9FBD290-8AA1-4561-8370-22126A405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8893906">
      <w:bodyDiv w:val="1"/>
      <w:marLeft w:val="0"/>
      <w:marRight w:val="0"/>
      <w:marTop w:val="0"/>
      <w:marBottom w:val="0"/>
      <w:divBdr>
        <w:top w:val="none" w:sz="0" w:space="0" w:color="auto"/>
        <w:left w:val="none" w:sz="0" w:space="0" w:color="auto"/>
        <w:bottom w:val="none" w:sz="0" w:space="0" w:color="auto"/>
        <w:right w:val="none" w:sz="0" w:space="0" w:color="auto"/>
      </w:divBdr>
      <w:divsChild>
        <w:div w:id="1754818343">
          <w:marLeft w:val="0"/>
          <w:marRight w:val="0"/>
          <w:marTop w:val="0"/>
          <w:marBottom w:val="0"/>
          <w:divBdr>
            <w:top w:val="none" w:sz="0" w:space="0" w:color="auto"/>
            <w:left w:val="none" w:sz="0" w:space="0" w:color="auto"/>
            <w:bottom w:val="none" w:sz="0" w:space="0" w:color="auto"/>
            <w:right w:val="none" w:sz="0" w:space="0" w:color="auto"/>
          </w:divBdr>
        </w:div>
        <w:div w:id="2062091794">
          <w:marLeft w:val="0"/>
          <w:marRight w:val="0"/>
          <w:marTop w:val="0"/>
          <w:marBottom w:val="0"/>
          <w:divBdr>
            <w:top w:val="none" w:sz="0" w:space="0" w:color="auto"/>
            <w:left w:val="none" w:sz="0" w:space="0" w:color="auto"/>
            <w:bottom w:val="none" w:sz="0" w:space="0" w:color="auto"/>
            <w:right w:val="none" w:sz="0" w:space="0" w:color="auto"/>
          </w:divBdr>
        </w:div>
        <w:div w:id="1879465667">
          <w:marLeft w:val="0"/>
          <w:marRight w:val="320"/>
          <w:marTop w:val="0"/>
          <w:marBottom w:val="320"/>
          <w:divBdr>
            <w:top w:val="single" w:sz="6" w:space="0" w:color="89BBF6"/>
            <w:left w:val="single" w:sz="6" w:space="0" w:color="89BBF6"/>
            <w:bottom w:val="single" w:sz="6" w:space="0" w:color="89BBF6"/>
            <w:right w:val="single" w:sz="6" w:space="0" w:color="89BBF6"/>
          </w:divBdr>
        </w:div>
        <w:div w:id="207539528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__doLinkPostBack('','ss~~DE%20%22Nonfiction%22%7C%7Csl~~rl','');" TargetMode="External"/><Relationship Id="rId13" Type="http://schemas.openxmlformats.org/officeDocument/2006/relationships/image" Target="media/image1.jpeg"/><Relationship Id="rId18" Type="http://schemas.openxmlformats.org/officeDocument/2006/relationships/image" Target="media/image3.wmf"/><Relationship Id="rId26" Type="http://schemas.openxmlformats.org/officeDocument/2006/relationships/hyperlink" Target="http://eds.a.ebscohost.com/eds/detail/detail?vid=0&amp;sid=e74a9660-d8b9-49b5-ab91-6f2d740fcb99%40sessionmgr4008&amp;bdata=JkF1dGhUeXBlPWlwLHNoaWImc2l0ZT1lZHMtbGl2ZSZzY29wZT1zaXRl" TargetMode="External"/><Relationship Id="rId3" Type="http://schemas.openxmlformats.org/officeDocument/2006/relationships/settings" Target="settings.xml"/><Relationship Id="rId21" Type="http://schemas.openxmlformats.org/officeDocument/2006/relationships/hyperlink" Target="http://eds.a.ebscohost.com/eds/detail/detail?vid=0&amp;sid=e74a9660-d8b9-49b5-ab91-6f2d740fcb99%40sessionmgr4008&amp;bdata=JkF1dGhUeXBlPWlwLHNoaWImc2l0ZT1lZHMtbGl2ZSZzY29wZT1zaXRl" TargetMode="External"/><Relationship Id="rId34" Type="http://schemas.openxmlformats.org/officeDocument/2006/relationships/hyperlink" Target="http://eds.a.ebscohost.com/eds/detail/detail?vid=0&amp;sid=e74a9660-d8b9-49b5-ab91-6f2d740fcb99%40sessionmgr4008&amp;bdata=JkF1dGhUeXBlPWlwLHNoaWImc2l0ZT1lZHMtbGl2ZSZzY29wZT1zaXRl" TargetMode="External"/><Relationship Id="rId7" Type="http://schemas.openxmlformats.org/officeDocument/2006/relationships/hyperlink" Target="javascript:__doLinkPostBack('','ss~~DE%20%22Rome%20--%20Religion%22%7C%7Csl~~rl','');" TargetMode="External"/><Relationship Id="rId12" Type="http://schemas.openxmlformats.org/officeDocument/2006/relationships/hyperlink" Target="http://eds.a.ebscohost.com/eds/detail/detail?sid=e74a9660-d8b9-49b5-ab91-6f2d740fcb99@sessionmgr4008&amp;vid=0&amp;mdb=eih&amp;jdb=eihjnh&amp;ss=JN+%22International+Journal+of+Environmental+Studies%22&amp;sl=jh" TargetMode="External"/><Relationship Id="rId17" Type="http://schemas.openxmlformats.org/officeDocument/2006/relationships/hyperlink" Target="http://app-na.readspeaker.com/cgi-bin/rsent?customerid=5845&amp;lang=en_us&amp;readid=rs_full_text_container_title&amp;url=http%3A%2F%2Feds.a.ebscohost.com%2Feds%2Fdetail%2Fdetail%3Fvid%3D0%26sid%3De74a9660-d8b9-49b5-ab91-6f2d740fcb99%2540sessionmgr4008%26bdata%3DJkF1dGhUeXBlPWlwLHNoaWImc2l0ZT1lZHMtbGl2ZSZzY29wZT1zaXRl%23AN%3D100825892%26db%3Deih&amp;speedValue=medium&amp;download=true&amp;audiofilename=Constantinedynastyreligionandpower-Brett-CrowtherMichael-20150201" TargetMode="External"/><Relationship Id="rId25" Type="http://schemas.openxmlformats.org/officeDocument/2006/relationships/hyperlink" Target="http://eds.a.ebscohost.com/eds/detail/detail?vid=0&amp;sid=e74a9660-d8b9-49b5-ab91-6f2d740fcb99%40sessionmgr4008&amp;bdata=JkF1dGhUeXBlPWlwLHNoaWImc2l0ZT1lZHMtbGl2ZSZzY29wZT1zaXRl" TargetMode="External"/><Relationship Id="rId33" Type="http://schemas.openxmlformats.org/officeDocument/2006/relationships/hyperlink" Target="http://eds.a.ebscohost.com/eds/detail/detail?vid=0&amp;sid=e74a9660-d8b9-49b5-ab91-6f2d740fcb99%40sessionmgr4008&amp;bdata=JkF1dGhUeXBlPWlwLHNoaWImc2l0ZT1lZHMtbGl2ZSZzY29wZT1zaXRl" TargetMode="External"/><Relationship Id="rId2" Type="http://schemas.openxmlformats.org/officeDocument/2006/relationships/styles" Target="styles.xml"/><Relationship Id="rId16" Type="http://schemas.openxmlformats.org/officeDocument/2006/relationships/hyperlink" Target="http://eds.a.ebscohost.com/eds/detail/detail?vid=0&amp;sid=e74a9660-d8b9-49b5-ab91-6f2d740fcb99%40sessionmgr4008&amp;bdata=JkF1dGhUeXBlPWlwLHNoaWImc2l0ZT1lZHMtbGl2ZSZzY29wZT1zaXRl" TargetMode="External"/><Relationship Id="rId20" Type="http://schemas.openxmlformats.org/officeDocument/2006/relationships/hyperlink" Target="http://eds.a.ebscohost.com/eds/detail/detail?vid=0&amp;sid=e74a9660-d8b9-49b5-ab91-6f2d740fcb99%40sessionmgr4008&amp;bdata=JkF1dGhUeXBlPWlwLHNoaWImc2l0ZT1lZHMtbGl2ZSZzY29wZT1zaXRl" TargetMode="External"/><Relationship Id="rId29" Type="http://schemas.openxmlformats.org/officeDocument/2006/relationships/hyperlink" Target="http://eds.a.ebscohost.com/eds/detail/detail?vid=0&amp;sid=e74a9660-d8b9-49b5-ab91-6f2d740fcb99%40sessionmgr4008&amp;bdata=JkF1dGhUeXBlPWlwLHNoaWImc2l0ZT1lZHMtbGl2ZSZzY29wZT1zaXRl" TargetMode="External"/><Relationship Id="rId1" Type="http://schemas.openxmlformats.org/officeDocument/2006/relationships/numbering" Target="numbering.xml"/><Relationship Id="rId6" Type="http://schemas.openxmlformats.org/officeDocument/2006/relationships/hyperlink" Target="javascript:__doLinkPostBack('','mdb~~eih%7C%7Cjdb~~eihjnh%7C%7Css~~JN%20%22International%20Journal%20of%20Environmental%20Studies%22%7C%7Csl~~jh','');" TargetMode="External"/><Relationship Id="rId11" Type="http://schemas.openxmlformats.org/officeDocument/2006/relationships/hyperlink" Target="javascript:__doLinkPostBack('','ss~~PE%20%22Constantine%20I%2C%20Emperor%20of%20Rome%2C%20d.%20337%22%7C%7Csl~~rl','');" TargetMode="External"/><Relationship Id="rId24" Type="http://schemas.openxmlformats.org/officeDocument/2006/relationships/hyperlink" Target="http://eds.a.ebscohost.com/eds/detail/detail?vid=0&amp;sid=e74a9660-d8b9-49b5-ab91-6f2d740fcb99%40sessionmgr4008&amp;bdata=JkF1dGhUeXBlPWlwLHNoaWImc2l0ZT1lZHMtbGl2ZSZzY29wZT1zaXRl" TargetMode="External"/><Relationship Id="rId32" Type="http://schemas.openxmlformats.org/officeDocument/2006/relationships/hyperlink" Target="http://eds.a.ebscohost.com/eds/detail/detail?vid=0&amp;sid=e74a9660-d8b9-49b5-ab91-6f2d740fcb99%40sessionmgr4008&amp;bdata=JkF1dGhUeXBlPWlwLHNoaWImc2l0ZT1lZHMtbGl2ZSZzY29wZT1zaXRl" TargetMode="External"/><Relationship Id="rId37" Type="http://schemas.openxmlformats.org/officeDocument/2006/relationships/theme" Target="theme/theme1.xml"/><Relationship Id="rId5" Type="http://schemas.openxmlformats.org/officeDocument/2006/relationships/hyperlink" Target="javascript:__doLinkPostBack('','ss~~AR%20%22Brett-Crowther%2C%20Michael%22%7C%7Csl~~rl','');" TargetMode="External"/><Relationship Id="rId15" Type="http://schemas.openxmlformats.org/officeDocument/2006/relationships/control" Target="activeX/activeX1.xml"/><Relationship Id="rId23" Type="http://schemas.openxmlformats.org/officeDocument/2006/relationships/hyperlink" Target="http://eds.a.ebscohost.com/eds/detail/detail?vid=0&amp;sid=e74a9660-d8b9-49b5-ab91-6f2d740fcb99%40sessionmgr4008&amp;bdata=JkF1dGhUeXBlPWlwLHNoaWImc2l0ZT1lZHMtbGl2ZSZzY29wZT1zaXRl" TargetMode="External"/><Relationship Id="rId28" Type="http://schemas.openxmlformats.org/officeDocument/2006/relationships/hyperlink" Target="http://dx.doi.org/10.1080/00207233.2014.947728" TargetMode="External"/><Relationship Id="rId36" Type="http://schemas.openxmlformats.org/officeDocument/2006/relationships/fontTable" Target="fontTable.xml"/><Relationship Id="rId10" Type="http://schemas.openxmlformats.org/officeDocument/2006/relationships/hyperlink" Target="javascript:__doLinkPostBack('','ss~~PE%20%22Barnes%2C%20Timothy%22%7C%7Csl~~rl','');" TargetMode="External"/><Relationship Id="rId19" Type="http://schemas.openxmlformats.org/officeDocument/2006/relationships/control" Target="activeX/activeX2.xml"/><Relationship Id="rId31" Type="http://schemas.openxmlformats.org/officeDocument/2006/relationships/hyperlink" Target="http://eds.a.ebscohost.com/eds/detail/detail?vid=0&amp;sid=e74a9660-d8b9-49b5-ab91-6f2d740fcb99%40sessionmgr4008&amp;bdata=JkF1dGhUeXBlPWlwLHNoaWImc2l0ZT1lZHMtbGl2ZSZzY29wZT1zaXRl" TargetMode="External"/><Relationship Id="rId4" Type="http://schemas.openxmlformats.org/officeDocument/2006/relationships/webSettings" Target="webSettings.xml"/><Relationship Id="rId9" Type="http://schemas.openxmlformats.org/officeDocument/2006/relationships/hyperlink" Target="javascript:__doLinkPostBack('','ss~~PS%20%22Constantine%3A%20Dynasty%2C%20Religion%20%26%20Power%20in%20the%20Later%20Roman%20Empire%20%28Book%29%22%7C%7Csl~~rl','');" TargetMode="External"/><Relationship Id="rId14" Type="http://schemas.openxmlformats.org/officeDocument/2006/relationships/image" Target="media/image2.wmf"/><Relationship Id="rId22" Type="http://schemas.openxmlformats.org/officeDocument/2006/relationships/hyperlink" Target="http://eds.a.ebscohost.com/eds/detail/detail?vid=0&amp;sid=e74a9660-d8b9-49b5-ab91-6f2d740fcb99%40sessionmgr4008&amp;bdata=JkF1dGhUeXBlPWlwLHNoaWImc2l0ZT1lZHMtbGl2ZSZzY29wZT1zaXRl" TargetMode="External"/><Relationship Id="rId27" Type="http://schemas.openxmlformats.org/officeDocument/2006/relationships/hyperlink" Target="http://eds.a.ebscohost.com/eds/detail/detail?vid=0&amp;sid=e74a9660-d8b9-49b5-ab91-6f2d740fcb99%40sessionmgr4008&amp;bdata=JkF1dGhUeXBlPWlwLHNoaWImc2l0ZT1lZHMtbGl2ZSZzY29wZT1zaXRl" TargetMode="External"/><Relationship Id="rId30" Type="http://schemas.openxmlformats.org/officeDocument/2006/relationships/hyperlink" Target="http://eds.a.ebscohost.com/eds/detail/detail?vid=0&amp;sid=e74a9660-d8b9-49b5-ab91-6f2d740fcb99%40sessionmgr4008&amp;bdata=JkF1dGhUeXBlPWlwLHNoaWImc2l0ZT1lZHMtbGl2ZSZzY29wZT1zaXRl" TargetMode="External"/><Relationship Id="rId35" Type="http://schemas.openxmlformats.org/officeDocument/2006/relationships/hyperlink" Target="http://eds.a.ebscohost.com/eds/detail/detail?vid=0&amp;sid=e74a9660-d8b9-49b5-ab91-6f2d740fcb99%40sessionmgr4008&amp;bdata=JkF1dGhUeXBlPWlwLHNoaWImc2l0ZT1lZHMtbGl2ZSZzY29wZT1zaXRl"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3542</Words>
  <Characters>20190</Characters>
  <Application>Microsoft Office Word</Application>
  <DocSecurity>0</DocSecurity>
  <Lines>168</Lines>
  <Paragraphs>47</Paragraphs>
  <ScaleCrop>false</ScaleCrop>
  <Company/>
  <LinksUpToDate>false</LinksUpToDate>
  <CharactersWithSpaces>23685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anekia kelly</dc:creator>
  <cp:keywords/>
  <dc:description/>
  <cp:lastModifiedBy>anekia kelly</cp:lastModifiedBy>
  <cp:revision>1</cp:revision>
  <dcterms:created xsi:type="dcterms:W3CDTF">2020-06-17T20:29:00Z</dcterms:created>
  <dcterms:modified xsi:type="dcterms:W3CDTF">2020-06-17T20:30:00Z</dcterms:modified>
</cp:coreProperties>
</file>